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D0431" w14:textId="77777777" w:rsidR="003C6708" w:rsidRDefault="00000000">
      <w:pPr>
        <w:pStyle w:val="1"/>
      </w:pPr>
      <w:r>
        <w:t>Discussion (T8 Working Master)</w:t>
      </w:r>
    </w:p>
    <w:p w14:paraId="48D693CF" w14:textId="77777777" w:rsidR="003C6708" w:rsidRDefault="00000000">
      <w:pPr>
        <w:spacing w:before="40" w:after="40"/>
        <w:ind w:left="360"/>
      </w:pPr>
      <w:r>
        <w:t>**Purpose**: Traceable master for compiling an English journal Discussion from the Chinese Discussion + `discussion_outline_en.yaml`.</w:t>
      </w:r>
    </w:p>
    <w:p w14:paraId="6AF13507" w14:textId="77777777" w:rsidR="003C6708" w:rsidRDefault="003C6708">
      <w:pPr>
        <w:spacing w:before="40" w:after="40"/>
        <w:ind w:left="360"/>
      </w:pPr>
    </w:p>
    <w:p w14:paraId="428C3CA9" w14:textId="77777777" w:rsidR="003C6708" w:rsidRDefault="00000000">
      <w:pPr>
        <w:spacing w:before="40" w:after="40"/>
        <w:ind w:left="360"/>
      </w:pPr>
      <w:r>
        <w:t>**Editing rules**</w:t>
      </w:r>
    </w:p>
    <w:p w14:paraId="1900079F" w14:textId="77777777" w:rsidR="003C6708" w:rsidRDefault="00000000">
      <w:pPr>
        <w:spacing w:before="40" w:after="40"/>
        <w:ind w:left="360"/>
      </w:pPr>
      <w:r>
        <w:t>- This file is the *only* truth source for content.</w:t>
      </w:r>
    </w:p>
    <w:p w14:paraId="31312BA4" w14:textId="77777777" w:rsidR="003C6708" w:rsidRDefault="00000000">
      <w:pPr>
        <w:spacing w:before="40" w:after="40"/>
        <w:ind w:left="360"/>
      </w:pPr>
      <w:r>
        <w:t>- Keep the `` blocks intact (they power structural backtracking).</w:t>
      </w:r>
    </w:p>
    <w:p w14:paraId="4663F3FE" w14:textId="77777777" w:rsidR="003C6708" w:rsidRDefault="00000000">
      <w:pPr>
        <w:spacing w:before="40" w:after="40"/>
        <w:ind w:left="360"/>
      </w:pPr>
      <w:r>
        <w:t>- Do **not** paste long Results; keep interpretation/adjudication language.</w:t>
      </w:r>
    </w:p>
    <w:p w14:paraId="039420B5" w14:textId="77777777" w:rsidR="003C6708" w:rsidRDefault="00000000">
      <w:pPr>
        <w:spacing w:before="40" w:after="40"/>
        <w:ind w:left="360"/>
      </w:pPr>
      <w:r>
        <w:t>- Each paragraph (D1–D5) should be one coherent English paragraph unless you intentionally split it (note in TRACE).</w:t>
      </w:r>
    </w:p>
    <w:p w14:paraId="64B77387" w14:textId="77777777" w:rsidR="003C6708" w:rsidRDefault="00000000">
      <w:pPr>
        <w:jc w:val="center"/>
      </w:pPr>
      <w:r>
        <w:t>————————————————————</w:t>
      </w:r>
    </w:p>
    <w:p w14:paraId="6CD7EF96" w14:textId="77777777" w:rsidR="003C6708" w:rsidRDefault="00000000">
      <w:pPr>
        <w:pStyle w:val="21"/>
      </w:pPr>
      <w:r>
        <w:t>D1 — Opening: Decoupling and the central question (activation ≠ lytic output)</w:t>
      </w:r>
    </w:p>
    <w:p w14:paraId="330F3CC3" w14:textId="77777777" w:rsidR="003C6708" w:rsidRDefault="00000000">
      <w:pPr>
        <w:pStyle w:val="31"/>
      </w:pPr>
      <w:r>
        <w:t>Claim spine (English skeleton)</w:t>
      </w:r>
    </w:p>
    <w:p w14:paraId="6A9AD4A3" w14:textId="77777777" w:rsidR="003C6708" w:rsidRDefault="00000000">
      <w:pPr>
        <w:pStyle w:val="a0"/>
        <w:spacing w:after="0"/>
      </w:pPr>
      <w:r>
        <w:t>Field default equivalence (upstream readouts ≈ inflammation strength) is incomplete.</w:t>
      </w:r>
    </w:p>
    <w:p w14:paraId="50DC5C36" w14:textId="77777777" w:rsidR="003C6708" w:rsidRDefault="00000000">
      <w:pPr>
        <w:pStyle w:val="a0"/>
        <w:spacing w:after="0"/>
      </w:pPr>
      <w:r>
        <w:t>A recurring paradox: activation/assembly can be similar, yet IL-1β lytic release and rupture diverge.</w:t>
      </w:r>
    </w:p>
    <w:p w14:paraId="30CA6C25" w14:textId="77777777" w:rsidR="003C6708" w:rsidRDefault="00000000">
      <w:pPr>
        <w:pStyle w:val="a0"/>
        <w:spacing w:after="0"/>
      </w:pPr>
      <w:r>
        <w:t>Therefore, an execution-layer threshold/cap exists after assembly/activation.</w:t>
      </w:r>
    </w:p>
    <w:p w14:paraId="60A389D4" w14:textId="77777777" w:rsidR="003C6708" w:rsidRDefault="00000000">
      <w:pPr>
        <w:pStyle w:val="a0"/>
        <w:spacing w:after="0"/>
      </w:pPr>
      <w:r>
        <w:t>Minimal testable chain: signal input → membrane-environment mediator → pore functional output.</w:t>
      </w:r>
    </w:p>
    <w:p w14:paraId="7CEB614E" w14:textId="77777777" w:rsidR="003C6708" w:rsidRDefault="00000000">
      <w:pPr>
        <w:pStyle w:val="31"/>
      </w:pPr>
      <w:r>
        <w:t>Chinese trace (what to pull/compile)</w:t>
      </w:r>
    </w:p>
    <w:p w14:paraId="6D00DEA0" w14:textId="77777777" w:rsidR="003C6708" w:rsidRDefault="00000000">
      <w:pPr>
        <w:pStyle w:val="a0"/>
        <w:spacing w:after="0"/>
        <w:rPr>
          <w:lang w:eastAsia="zh-CN"/>
        </w:rPr>
      </w:pPr>
      <w:r>
        <w:rPr>
          <w:lang w:eastAsia="zh-CN"/>
        </w:rPr>
        <w:t>活化≠输出：装配读出相近但裂解性输出分叉（核心矛盾）</w:t>
      </w:r>
    </w:p>
    <w:p w14:paraId="5569928A" w14:textId="77777777" w:rsidR="003C6708" w:rsidRDefault="00000000">
      <w:pPr>
        <w:pStyle w:val="a0"/>
        <w:spacing w:after="0"/>
        <w:rPr>
          <w:lang w:eastAsia="zh-CN"/>
        </w:rPr>
      </w:pPr>
      <w:r>
        <w:rPr>
          <w:lang w:eastAsia="zh-CN"/>
        </w:rPr>
        <w:t>阈值层：排多少、何时破、是否破</w:t>
      </w:r>
    </w:p>
    <w:p w14:paraId="4E27A00F" w14:textId="77777777" w:rsidR="003C6708" w:rsidRDefault="00000000">
      <w:pPr>
        <w:pStyle w:val="a0"/>
        <w:spacing w:after="0"/>
        <w:rPr>
          <w:lang w:eastAsia="zh-CN"/>
        </w:rPr>
      </w:pPr>
      <w:r>
        <w:rPr>
          <w:lang w:eastAsia="zh-CN"/>
        </w:rPr>
        <w:t>压缩缺口为可检验路径：信号输入→膜环境中介→孔功能输出</w:t>
      </w:r>
    </w:p>
    <w:p w14:paraId="613436D0" w14:textId="77777777" w:rsidR="003C6708" w:rsidRDefault="00000000">
      <w:pPr>
        <w:pStyle w:val="31"/>
      </w:pPr>
      <w:r>
        <w:t>Results bridge (1–2 sentences only; no data re-listing)</w:t>
      </w:r>
    </w:p>
    <w:p w14:paraId="2B27C1D3" w14:textId="77777777" w:rsidR="003C6708" w:rsidRDefault="00000000">
      <w:pPr>
        <w:pStyle w:val="a0"/>
        <w:spacing w:after="0"/>
      </w:pPr>
      <w:r>
        <w:t>In our system, Ephb1 loss consistently weakens lytic outputs—reduced IL-1β lytic release and attenuated rupture—while key upstream activation/assembly readouts are not consistent with a global upstream shutdown, pointing to an execution-threshold explanation rather than a binary “activation failure.”</w:t>
      </w:r>
    </w:p>
    <w:p w14:paraId="2F438396" w14:textId="77777777" w:rsidR="003C6708" w:rsidRDefault="00000000">
      <w:pPr>
        <w:pStyle w:val="31"/>
      </w:pPr>
      <w:r>
        <w:t>D1 Draft paragraph (English)</w:t>
      </w:r>
    </w:p>
    <w:p w14:paraId="4C1BD35B" w14:textId="77777777" w:rsidR="003C6708" w:rsidRDefault="00000000">
      <w:r>
        <w:t xml:space="preserve">The inflammasome field often treats upstream readouts—priming-dependent transcription, ASC speck formation, and caspase-1 activation—as near-equivalent proxies for “inflammatory strength.” In practice, a recurring structural paradox appears across models: upstream activation/assembly can look similar, yet lytic IL-1β release and membrane rupture diverge markedly. This activation–output decoupling implies an execution-layer threshold/cap that operates after assembly, deciding how much can be released, when rupture occurs, and whether rupture occurs at all. Accordingly, our Discussion shifts the question from “does NLRP3 </w:t>
      </w:r>
      <w:r>
        <w:lastRenderedPageBreak/>
        <w:t>activate?” to “how is the terminal output capped/thresholded when activation is comparable?” To make the paradox adjudicable, we compress the gap into a falsifiable minimal chain: signal input → membrane-environment mediator → pore functional output. In this framing, upstream activation remains necessary, but it is not sufficient to predict the magnitude of lytic output.</w:t>
      </w:r>
    </w:p>
    <w:p w14:paraId="628816EF" w14:textId="77777777" w:rsidR="003C6708" w:rsidRDefault="00000000">
      <w:pPr>
        <w:pStyle w:val="31"/>
      </w:pPr>
      <w:r>
        <w:t>Boundary statement (keep crisp)</w:t>
      </w:r>
    </w:p>
    <w:p w14:paraId="19E4B69A" w14:textId="77777777" w:rsidR="003C6708" w:rsidRDefault="00000000">
      <w:pPr>
        <w:pStyle w:val="a0"/>
        <w:spacing w:after="0"/>
      </w:pPr>
      <w:r>
        <w:t>We do not claim upstream is irrelevant; it is necessary but not sufficient to predict lytic output strength.</w:t>
      </w:r>
    </w:p>
    <w:p w14:paraId="763DFB5F" w14:textId="77777777" w:rsidR="003C6708" w:rsidRDefault="00000000">
      <w:pPr>
        <w:jc w:val="center"/>
      </w:pPr>
      <w:r>
        <w:t>————————————————————</w:t>
      </w:r>
    </w:p>
    <w:p w14:paraId="42E16C04" w14:textId="77777777" w:rsidR="003C6708" w:rsidRDefault="00000000">
      <w:pPr>
        <w:pStyle w:val="21"/>
      </w:pPr>
      <w:r>
        <w:t>D2 — Evidence-chain synopsis: from localization to a threshold model</w:t>
      </w:r>
    </w:p>
    <w:p w14:paraId="5CF99CB5" w14:textId="77777777" w:rsidR="003C6708" w:rsidRDefault="00000000">
      <w:pPr>
        <w:pStyle w:val="31"/>
      </w:pPr>
      <w:r>
        <w:t>Claim spine (English skeleton)</w:t>
      </w:r>
    </w:p>
    <w:p w14:paraId="6EFDC1FD" w14:textId="77777777" w:rsidR="003C6708" w:rsidRDefault="00000000">
      <w:pPr>
        <w:pStyle w:val="a0"/>
        <w:spacing w:after="0"/>
      </w:pPr>
      <w:r>
        <w:t>Phenotype anchor: Ephb1 loss shows weakened lytic outputs across inflammasome contexts.</w:t>
      </w:r>
    </w:p>
    <w:p w14:paraId="1807F8E1" w14:textId="77777777" w:rsidR="003C6708" w:rsidRDefault="00000000">
      <w:pPr>
        <w:pStyle w:val="a0"/>
        <w:spacing w:after="0"/>
      </w:pPr>
      <w:r>
        <w:t>Localization: divergence is better explained at the execution layer than a global upstream shutdown.</w:t>
      </w:r>
    </w:p>
    <w:p w14:paraId="04E38DDC" w14:textId="77777777" w:rsidR="003C6708" w:rsidRDefault="00000000">
      <w:pPr>
        <w:pStyle w:val="a0"/>
        <w:spacing w:after="0"/>
      </w:pPr>
      <w:r>
        <w:t>Execution is parameterized (pore efficiency/stability, conductance threshold, sub-lytic ceiling).</w:t>
      </w:r>
    </w:p>
    <w:p w14:paraId="28C5D44A" w14:textId="77777777" w:rsidR="003C6708" w:rsidRDefault="00000000">
      <w:pPr>
        <w:pStyle w:val="a0"/>
        <w:spacing w:after="0"/>
      </w:pPr>
      <w:r>
        <w:t>ESCRT repair can cap membrane catastrophe; rupture is separable (e.g., NINJ1).</w:t>
      </w:r>
    </w:p>
    <w:p w14:paraId="486DEA88" w14:textId="77777777" w:rsidR="003C6708" w:rsidRDefault="00000000">
      <w:pPr>
        <w:pStyle w:val="a0"/>
        <w:spacing w:after="0"/>
      </w:pPr>
      <w:r>
        <w:t>Thus, a threshold/cap model is structurally plausible and testable.</w:t>
      </w:r>
    </w:p>
    <w:p w14:paraId="3BCB4078" w14:textId="77777777" w:rsidR="003C6708" w:rsidRDefault="00000000">
      <w:pPr>
        <w:pStyle w:val="31"/>
      </w:pPr>
      <w:r>
        <w:t>Chinese trace (what to pull/compile)</w:t>
      </w:r>
    </w:p>
    <w:p w14:paraId="7F7505FE" w14:textId="77777777" w:rsidR="003C6708" w:rsidRDefault="00000000">
      <w:pPr>
        <w:pStyle w:val="a0"/>
        <w:spacing w:after="0"/>
        <w:rPr>
          <w:lang w:eastAsia="zh-CN"/>
        </w:rPr>
      </w:pPr>
      <w:r>
        <w:rPr>
          <w:lang w:eastAsia="zh-CN"/>
        </w:rPr>
        <w:t>定位：差异发生在激活之后的输出环节</w:t>
      </w:r>
    </w:p>
    <w:p w14:paraId="4773EFA3" w14:textId="77777777" w:rsidR="003C6708" w:rsidRDefault="00000000">
      <w:pPr>
        <w:pStyle w:val="a0"/>
        <w:spacing w:after="0"/>
        <w:rPr>
          <w:lang w:eastAsia="zh-CN"/>
        </w:rPr>
      </w:pPr>
      <w:r>
        <w:rPr>
          <w:lang w:eastAsia="zh-CN"/>
        </w:rPr>
        <w:t>执行端拆分：孔形成/导通/修复/膜破裂</w:t>
      </w:r>
    </w:p>
    <w:p w14:paraId="45BD1E8D" w14:textId="77777777" w:rsidR="003C6708" w:rsidRDefault="00000000">
      <w:pPr>
        <w:pStyle w:val="a0"/>
        <w:spacing w:after="0"/>
      </w:pPr>
      <w:r>
        <w:t>ESCRT限幅、NINJ1使孔与破裂可解耦</w:t>
      </w:r>
    </w:p>
    <w:p w14:paraId="0349D501" w14:textId="77777777" w:rsidR="003C6708" w:rsidRDefault="00000000">
      <w:pPr>
        <w:pStyle w:val="31"/>
      </w:pPr>
      <w:r>
        <w:t>Causal criteria to state (adjudication language)</w:t>
      </w:r>
    </w:p>
    <w:p w14:paraId="427D294E" w14:textId="77777777" w:rsidR="003C6708" w:rsidRDefault="00000000">
      <w:pPr>
        <w:pStyle w:val="a0"/>
        <w:spacing w:after="0"/>
      </w:pPr>
      <w:r>
        <w:t>Hierarchical masking: downstream (membrane/CL) manipulation should override upstream differences on output.</w:t>
      </w:r>
    </w:p>
    <w:p w14:paraId="56A67A0A" w14:textId="77777777" w:rsidR="003C6708" w:rsidRDefault="00000000">
      <w:pPr>
        <w:pStyle w:val="a0"/>
        <w:spacing w:after="0"/>
      </w:pPr>
      <w:r>
        <w:t>Same-level rescue: planned/partially missing; state as future causal test (do not overclaim).</w:t>
      </w:r>
    </w:p>
    <w:p w14:paraId="4BA4C745" w14:textId="77777777" w:rsidR="003C6708" w:rsidRDefault="00000000">
      <w:pPr>
        <w:pStyle w:val="a0"/>
        <w:spacing w:after="0"/>
      </w:pPr>
      <w:r>
        <w:t>Dose–response: graded shifts expected under a threshold model.</w:t>
      </w:r>
    </w:p>
    <w:p w14:paraId="0B7D82A7" w14:textId="77777777" w:rsidR="003C6708" w:rsidRDefault="00000000">
      <w:pPr>
        <w:pStyle w:val="31"/>
      </w:pPr>
      <w:r>
        <w:t>D2 Draft paragraph (English)</w:t>
      </w:r>
    </w:p>
    <w:p w14:paraId="6909F950" w14:textId="77777777" w:rsidR="003C6708" w:rsidRDefault="00000000">
      <w:r>
        <w:t xml:space="preserve">Our evidence can be read as a compact chain from phenotype to layer-localization to a threshold model. Across a canonical LPS-priming–nigericin NLRP3 paradigm (and additional inflammasome settings), Ephb1-deficient macrophages show blunted lytic outputs and reduced IL-1β release, yet these output changes do not automatically imply that priming, assembly, or caspase activation is globally disabled. Instead, the divergence is better localized to the execution layer: pyroptosis is not a binary switch, but a parameterized process shaped by pore formation efficiency, pore stability and conductance, and a sub-lytic ceiling imposed by membrane repair. Mechanistically, ESCRT-mediated repair can cap membrane catastrophe and keep cells in a sub-lytic regime, altering the ratio between cytokine release and terminal lysis. Conversely, terminal rupture is separable from pore formation and can be amplified by dedicated rupture factors (e.g., NINJ1), creating structural space for activation without proportional rupture. On this basis, an execution-threshold/cap model is both plausible and testable. To move beyond correlation, we </w:t>
      </w:r>
      <w:r>
        <w:lastRenderedPageBreak/>
        <w:t>organize causal adjudication around three criteria: hierarchical masking (downstream membrane-environment manipulations should override upstream differences), same-level rescue (planned; restoring the membrane mediator should partially recover output in Ephb1 loss), and dose–response (graded membrane shifts should produce graded or threshold-like output changes). At present, our strongest support is for necessity and layer-localization; sufficiency requires dedicated rescue and pathway-validation experiments.</w:t>
      </w:r>
    </w:p>
    <w:p w14:paraId="3EAE5831" w14:textId="77777777" w:rsidR="003C6708" w:rsidRDefault="00000000">
      <w:pPr>
        <w:pStyle w:val="31"/>
      </w:pPr>
      <w:r>
        <w:t>Boundary statement (strength of claims)</w:t>
      </w:r>
    </w:p>
    <w:p w14:paraId="417A1961" w14:textId="77777777" w:rsidR="003C6708" w:rsidRDefault="00000000">
      <w:pPr>
        <w:pStyle w:val="a0"/>
        <w:spacing w:after="0"/>
      </w:pPr>
      <w:r>
        <w:t>Current strength: necessity + layer-localization; sufficiency remains to be proven.</w:t>
      </w:r>
    </w:p>
    <w:p w14:paraId="042C8651" w14:textId="77777777" w:rsidR="003C6708" w:rsidRDefault="00000000">
      <w:pPr>
        <w:jc w:val="center"/>
      </w:pPr>
      <w:r>
        <w:t>————————————————————</w:t>
      </w:r>
    </w:p>
    <w:p w14:paraId="3B29905E" w14:textId="77777777" w:rsidR="003C6708" w:rsidRDefault="00000000">
      <w:pPr>
        <w:pStyle w:val="21"/>
      </w:pPr>
      <w:r>
        <w:t>D3 — Mediator and pathway organization: CL/membrane environment + mechanism axes + mediation roadmap</w:t>
      </w:r>
    </w:p>
    <w:p w14:paraId="44942FCE" w14:textId="77777777" w:rsidR="003C6708" w:rsidRDefault="00000000">
      <w:pPr>
        <w:pStyle w:val="31"/>
      </w:pPr>
      <w:r>
        <w:t>Claim spine (English skeleton)</w:t>
      </w:r>
    </w:p>
    <w:p w14:paraId="03FABA85" w14:textId="77777777" w:rsidR="003C6708" w:rsidRDefault="00000000">
      <w:pPr>
        <w:pStyle w:val="a0"/>
        <w:spacing w:after="0"/>
      </w:pPr>
      <w:r>
        <w:t>Membrane lipid environment is not background; it is a mediator controlling pore permissiveness.</w:t>
      </w:r>
    </w:p>
    <w:p w14:paraId="44D23B23" w14:textId="77777777" w:rsidR="003C6708" w:rsidRDefault="00000000">
      <w:pPr>
        <w:pStyle w:val="a0"/>
        <w:spacing w:after="0"/>
      </w:pPr>
      <w:r>
        <w:t>CL metabolic state (amount/remodeling/oxidation/accessibility pool) serves as a quantifiable mediator proxy.</w:t>
      </w:r>
    </w:p>
    <w:p w14:paraId="503377BE" w14:textId="77777777" w:rsidR="003C6708" w:rsidRDefault="00000000">
      <w:pPr>
        <w:pStyle w:val="a0"/>
        <w:spacing w:after="0"/>
      </w:pPr>
      <w:r>
        <w:t>Ephb1 is positioned as signal input; its effects are organized as network-driven membrane remodeling.</w:t>
      </w:r>
    </w:p>
    <w:p w14:paraId="61859F8B" w14:textId="77777777" w:rsidR="003C6708" w:rsidRDefault="00000000">
      <w:pPr>
        <w:pStyle w:val="a0"/>
        <w:spacing w:after="0"/>
      </w:pPr>
      <w:r>
        <w:t>Mechanism axes provide cross-batch reproducible phenotype coordinates; mediation yields prioritized pathways (roadmap).</w:t>
      </w:r>
    </w:p>
    <w:p w14:paraId="5E468A6F" w14:textId="77777777" w:rsidR="003C6708" w:rsidRDefault="00000000">
      <w:pPr>
        <w:pStyle w:val="31"/>
      </w:pPr>
      <w:r>
        <w:t>Chinese trace (what to pull/compile)</w:t>
      </w:r>
    </w:p>
    <w:p w14:paraId="5339B697" w14:textId="77777777" w:rsidR="003C6708" w:rsidRDefault="00000000">
      <w:pPr>
        <w:pStyle w:val="a0"/>
        <w:spacing w:after="0"/>
        <w:rPr>
          <w:lang w:eastAsia="zh-CN"/>
        </w:rPr>
      </w:pPr>
      <w:r>
        <w:rPr>
          <w:lang w:eastAsia="zh-CN"/>
        </w:rPr>
        <w:t>CL从‘结合位点想象’回落到‘可量化代谢与膜环境状态’</w:t>
      </w:r>
    </w:p>
    <w:p w14:paraId="681E98C4" w14:textId="77777777" w:rsidR="003C6708" w:rsidRDefault="00000000">
      <w:pPr>
        <w:pStyle w:val="a0"/>
        <w:spacing w:after="0"/>
        <w:rPr>
          <w:lang w:eastAsia="zh-CN"/>
        </w:rPr>
      </w:pPr>
      <w:r>
        <w:rPr>
          <w:lang w:eastAsia="zh-CN"/>
        </w:rPr>
        <w:t>避免单一酶节点叙事：机制轴稳定表征 + 中介分解给优先级</w:t>
      </w:r>
    </w:p>
    <w:p w14:paraId="78D79634" w14:textId="77777777" w:rsidR="003C6708" w:rsidRDefault="00000000">
      <w:pPr>
        <w:pStyle w:val="a0"/>
        <w:spacing w:after="0"/>
        <w:rPr>
          <w:lang w:eastAsia="zh-CN"/>
        </w:rPr>
      </w:pPr>
      <w:r>
        <w:rPr>
          <w:lang w:eastAsia="zh-CN"/>
        </w:rPr>
        <w:t>Ephb1→下游通路网络→膜环境/CL表型→孔功能输出</w:t>
      </w:r>
    </w:p>
    <w:p w14:paraId="01AA4487" w14:textId="77777777" w:rsidR="003C6708" w:rsidRDefault="00000000">
      <w:pPr>
        <w:pStyle w:val="31"/>
      </w:pPr>
      <w:r>
        <w:t>Evidence interface note</w:t>
      </w:r>
    </w:p>
    <w:p w14:paraId="7C139747" w14:textId="77777777" w:rsidR="003C6708" w:rsidRDefault="00000000">
      <w:pPr>
        <w:pStyle w:val="a0"/>
        <w:spacing w:after="0"/>
      </w:pPr>
      <w:r>
        <w:t>Omics integration: state what the framework enables (reproducible coordinates + prioritization), not list all pathways.</w:t>
      </w:r>
    </w:p>
    <w:p w14:paraId="169F6D64" w14:textId="77777777" w:rsidR="003C6708" w:rsidRDefault="00000000">
      <w:pPr>
        <w:pStyle w:val="31"/>
      </w:pPr>
      <w:r>
        <w:t xml:space="preserve">D3 </w:t>
      </w:r>
      <w:bookmarkStart w:id="0" w:name="OLE_LINK1"/>
      <w:r>
        <w:t>Draft paragraph</w:t>
      </w:r>
      <w:bookmarkEnd w:id="0"/>
      <w:r>
        <w:t xml:space="preserve"> (English)</w:t>
      </w:r>
    </w:p>
    <w:p w14:paraId="7D34583C" w14:textId="77777777" w:rsidR="003C6708" w:rsidRDefault="00000000">
      <w:r>
        <w:t xml:space="preserve">We place the membrane lipid environment—not upstream assembly—as the mediator layer that translates signal input into execution output. Within this layer, cardiolipin (CL) is treated not as an abstract “binding-site” concept but as a quantifiable metabolic and biophysical state (amount, remodeling spectrum, oxidation state, and an operationally defined accessibility pool) that can shift pore permissiveness. In this organization, Ephb1 is an upstream signal entry point whose loss propagates through downstream signaling networks to remodel the mitochondrial/membrane environment, thereby shifting the functional threshold and ceiling of GSDMD pore output. Because complex systems often yield modest, distributed omics shifts, we avoid prematurely converging on a single enzyme node; instead, we use cross-batch “mechanism axes” to summarize supply/transport/synthesis/remodeling/oxidation/membrane-environment coordinates as reproducible phenotype endpoints. We then use mediation decomposition (X–M–Y) to </w:t>
      </w:r>
      <w:r>
        <w:lastRenderedPageBreak/>
        <w:t>prioritize candidate downstream pathways that best explain how Ephb1 perturbs these axes, producing a testable roadmap rather than a mechanistic proof. Crucially, mediation here is a ranking tool: it nominates pathways for targeted perturbation along a three-step logic (pathway → CL/axis state → pore/output) without claiming direct biochemical sufficiency. This mediator-first framework provides an interpretable way to rationalize activation–output decoupling: similar upstream activation can yield divergent lytic outputs if membrane-environment thresholds are shifted.</w:t>
      </w:r>
    </w:p>
    <w:p w14:paraId="5C29FDDE" w14:textId="77777777" w:rsidR="003C6708" w:rsidRDefault="00000000">
      <w:pPr>
        <w:pStyle w:val="31"/>
      </w:pPr>
      <w:r>
        <w:t>Boundary statements (keep explicit)</w:t>
      </w:r>
    </w:p>
    <w:p w14:paraId="51FD0218" w14:textId="77777777" w:rsidR="003C6708" w:rsidRDefault="00000000">
      <w:pPr>
        <w:pStyle w:val="a0"/>
        <w:spacing w:after="0"/>
      </w:pPr>
      <w:r>
        <w:t>Mediation analysis is a prioritization roadmap, not a substitute for mechanistic proof.</w:t>
      </w:r>
    </w:p>
    <w:p w14:paraId="72462164" w14:textId="77777777" w:rsidR="003C6708" w:rsidRDefault="00000000">
      <w:pPr>
        <w:pStyle w:val="a0"/>
        <w:spacing w:after="0"/>
      </w:pPr>
      <w:r>
        <w:t>We discuss CL metabolic state as mediator proxy; not in situ binding constants.</w:t>
      </w:r>
    </w:p>
    <w:p w14:paraId="077BEEE5" w14:textId="77777777" w:rsidR="003C6708" w:rsidRDefault="00000000">
      <w:pPr>
        <w:jc w:val="center"/>
      </w:pPr>
      <w:r>
        <w:t>————————————————————</w:t>
      </w:r>
    </w:p>
    <w:p w14:paraId="38887A85" w14:textId="77777777" w:rsidR="003C6708" w:rsidRDefault="00000000">
      <w:pPr>
        <w:pStyle w:val="21"/>
      </w:pPr>
      <w:r>
        <w:t>D4 — Strength of claims, alternatives, and limitations (what we can and cannot conclude)</w:t>
      </w:r>
    </w:p>
    <w:p w14:paraId="66D1040D" w14:textId="77777777" w:rsidR="003C6708" w:rsidRDefault="00000000">
      <w:pPr>
        <w:pStyle w:val="31"/>
      </w:pPr>
      <w:r>
        <w:t>Claim spine (English skeleton)</w:t>
      </w:r>
    </w:p>
    <w:p w14:paraId="7B95485A" w14:textId="77777777" w:rsidR="003C6708" w:rsidRDefault="00000000">
      <w:pPr>
        <w:pStyle w:val="a0"/>
        <w:spacing w:after="0"/>
      </w:pPr>
      <w:r>
        <w:t>What is strongly supported: execution-threshold model + mediator layer localization.</w:t>
      </w:r>
    </w:p>
    <w:p w14:paraId="29059889" w14:textId="77777777" w:rsidR="003C6708" w:rsidRDefault="00000000">
      <w:pPr>
        <w:pStyle w:val="a0"/>
        <w:spacing w:after="0"/>
      </w:pPr>
      <w:r>
        <w:t>What is not yet supported: full sufficiency loop; direct Ephb1–GSDMD structural interaction; precise CL accessibility constants.</w:t>
      </w:r>
    </w:p>
    <w:p w14:paraId="56B99290" w14:textId="77777777" w:rsidR="003C6708" w:rsidRDefault="00000000">
      <w:pPr>
        <w:pStyle w:val="a0"/>
        <w:spacing w:after="0"/>
      </w:pPr>
      <w:r>
        <w:t>Why robust to measurement limits: we model relative threshold shifts, not absolute physical constants.</w:t>
      </w:r>
    </w:p>
    <w:p w14:paraId="28389381" w14:textId="77777777" w:rsidR="003C6708" w:rsidRDefault="00000000">
      <w:pPr>
        <w:pStyle w:val="a0"/>
        <w:spacing w:after="0"/>
      </w:pPr>
      <w:r>
        <w:t>Context dependence explains literature conflicts: stimulus strength/timing, cell-type lipid background, Eph family context.</w:t>
      </w:r>
    </w:p>
    <w:p w14:paraId="1D7F72A3" w14:textId="77777777" w:rsidR="003C6708" w:rsidRDefault="00000000">
      <w:pPr>
        <w:pStyle w:val="31"/>
      </w:pPr>
      <w:r>
        <w:t>Key alternatives to adjudicate (pick top 3 to keep in main text)</w:t>
      </w:r>
    </w:p>
    <w:p w14:paraId="3D5DA896" w14:textId="77777777" w:rsidR="003C6708" w:rsidRDefault="00000000">
      <w:pPr>
        <w:pStyle w:val="a0"/>
        <w:spacing w:after="0"/>
      </w:pPr>
      <w:r>
        <w:t>ROS-first vs CL-first causality (Ephb1→ROS→CL vs Ephb1→CL independent of ROS)</w:t>
      </w:r>
    </w:p>
    <w:p w14:paraId="4D19665F" w14:textId="77777777" w:rsidR="003C6708" w:rsidRDefault="00000000">
      <w:pPr>
        <w:pStyle w:val="a0"/>
        <w:spacing w:after="0"/>
      </w:pPr>
      <w:r>
        <w:t>ESCRT/NINJ1 dominance (repair/rupture axis may dominate terminal lysis)</w:t>
      </w:r>
    </w:p>
    <w:p w14:paraId="62792938" w14:textId="77777777" w:rsidR="003C6708" w:rsidRDefault="00000000">
      <w:pPr>
        <w:pStyle w:val="a0"/>
        <w:spacing w:after="0"/>
      </w:pPr>
      <w:r>
        <w:t>Tool off-target/energetics confounds (e.g., BEL, ΔΨm affecting NAO and outputs)</w:t>
      </w:r>
    </w:p>
    <w:p w14:paraId="5D2F39F6" w14:textId="77777777" w:rsidR="003C6708" w:rsidRDefault="00000000">
      <w:pPr>
        <w:pStyle w:val="a0"/>
        <w:spacing w:after="0"/>
      </w:pPr>
      <w:r>
        <w:t>GSDME/apoptosis cross-talk scenarios (optional; include only if relevant)</w:t>
      </w:r>
    </w:p>
    <w:p w14:paraId="77CF6C6E" w14:textId="77777777" w:rsidR="003C6708" w:rsidRDefault="00000000">
      <w:pPr>
        <w:pStyle w:val="31"/>
      </w:pPr>
      <w:r>
        <w:t>Limitations bucket (decision-relevant, not methods)</w:t>
      </w:r>
    </w:p>
    <w:p w14:paraId="6B7F9E89" w14:textId="77777777" w:rsidR="003C6708" w:rsidRDefault="00000000">
      <w:r>
        <w:t>**Internal validity**</w:t>
      </w:r>
    </w:p>
    <w:p w14:paraId="19F1E13D" w14:textId="77777777" w:rsidR="003C6708" w:rsidRDefault="00000000">
      <w:pPr>
        <w:pStyle w:val="a0"/>
        <w:spacing w:after="0"/>
      </w:pPr>
      <w:r>
        <w:t>Measurement specificity (NAO vs LC–MS; ΔΨm and mitochondrial mass covariates)</w:t>
      </w:r>
    </w:p>
    <w:p w14:paraId="6F5A9130" w14:textId="77777777" w:rsidR="003C6708" w:rsidRDefault="00000000">
      <w:pPr>
        <w:pStyle w:val="a0"/>
        <w:spacing w:after="0"/>
      </w:pPr>
      <w:r>
        <w:t>Tool specificity/off-targets (BEL enantiomers, energetic effects)</w:t>
      </w:r>
    </w:p>
    <w:p w14:paraId="0080C8D7" w14:textId="77777777" w:rsidR="003C6708" w:rsidRDefault="00000000">
      <w:pPr>
        <w:pStyle w:val="a0"/>
        <w:spacing w:after="0"/>
      </w:pPr>
      <w:r>
        <w:t>Batch effects and modeling (LMM/robust handling)</w:t>
      </w:r>
    </w:p>
    <w:p w14:paraId="67A590E2" w14:textId="77777777" w:rsidR="003C6708" w:rsidRDefault="00000000">
      <w:r>
        <w:t>**External validity**</w:t>
      </w:r>
    </w:p>
    <w:p w14:paraId="55B41175" w14:textId="77777777" w:rsidR="003C6708" w:rsidRDefault="00000000">
      <w:pPr>
        <w:pStyle w:val="a0"/>
        <w:spacing w:after="0"/>
      </w:pPr>
      <w:r>
        <w:t>Species/cell type (C57 peritoneal macrophage boundary)</w:t>
      </w:r>
    </w:p>
    <w:p w14:paraId="780E9542" w14:textId="77777777" w:rsidR="003C6708" w:rsidRDefault="00000000">
      <w:pPr>
        <w:pStyle w:val="a0"/>
        <w:spacing w:after="0"/>
      </w:pPr>
      <w:r>
        <w:t>Stimulation paradigm (acute LPS+nigericin; chronic/infection may shift windows)</w:t>
      </w:r>
    </w:p>
    <w:p w14:paraId="62810A6C" w14:textId="77777777" w:rsidR="003C6708" w:rsidRDefault="00000000">
      <w:pPr>
        <w:pStyle w:val="a0"/>
        <w:spacing w:after="0"/>
      </w:pPr>
      <w:r>
        <w:t>Metabolic/ROS extremes (nonlinear regimes)</w:t>
      </w:r>
    </w:p>
    <w:p w14:paraId="0B79BE69" w14:textId="77777777" w:rsidR="003C6708" w:rsidRDefault="00000000">
      <w:pPr>
        <w:pStyle w:val="31"/>
      </w:pPr>
      <w:r>
        <w:lastRenderedPageBreak/>
        <w:t>D4 Draft paragraph (English)</w:t>
      </w:r>
    </w:p>
    <w:p w14:paraId="588A6835" w14:textId="77777777" w:rsidR="003C6708" w:rsidRDefault="00000000">
      <w:r>
        <w:t>Our central claim is deliberately scoped: the data most strongly support an execution-threshold model with membrane environment/CL as a high-priority mediator, whereas full sufficiency of the entire Ephb1→pathway→CL→pore loop remains to be closed. We do not claim that upstream activation is irrelevant; we claim it is necessary but insufficient to predict lytic output magnitude, and that execution-layer parameters (pore efficiency/stability, repair engagement, and rupture probability) provide the missing explanatory degrees of freedom. We also do not claim a direct Ephb1–GSDMD structural interaction or precise in situ CL accessibility/binding constants; our framework is built to explain relative threshold shifts using experimentally aligned readouts rather than absolute physical constants. Key alternative explanations remain adjudicable: (i) ROS-first causality (Ephb1→ROS→CL) versus CL-first or ROS-independent CL remodeling can be separated by ROS-clamping versus CL rescue in Ephb1-deficient cells; (ii) dominance of repair/rupture axes (ESCRT/NINJ1) can be tested by perturbing repair or rupture factors and asking whether they override the CL–output association; (iii) tool/energetic confounds (e.g., BEL stereochemistry, off-target hydrolase inhibition, ΔΨm effects influencing NAO) require enantiomer-aware dosing, covariate control (ΔΨm/mitochondrial mass), and orthogonal lipidomics validation. Internal validity is therefore bounded by measurement specificity (NAO vs LC–MS, ΔΨm covariates), tool specificity, and batch structure, while external validity is bounded by species/cell type (C57 peritoneal macrophages), stimulation paradigm (acute LPS+nigericin), and metabolic/ROS regimes where nonlinearity may dominate. Importantly, these boundaries do not negate the model; they define where the model should be expected to hold and what falsifiable predictions would overturn it. Thus, the Discussion aims to be maximally informative without over-claiming: we provide a layer-localized, mediator-based explanation for decoupling and specify the concrete experiments that can confirm or refute sufficiency and pathway priority.</w:t>
      </w:r>
    </w:p>
    <w:p w14:paraId="50CC9D95" w14:textId="77777777" w:rsidR="003C6708" w:rsidRDefault="00000000">
      <w:pPr>
        <w:pStyle w:val="31"/>
      </w:pPr>
      <w:r>
        <w:t>Explicit "we do not claim" lines (copy into final wording)</w:t>
      </w:r>
    </w:p>
    <w:p w14:paraId="54C63F49" w14:textId="77777777" w:rsidR="003C6708" w:rsidRDefault="00000000">
      <w:pPr>
        <w:pStyle w:val="a0"/>
        <w:spacing w:after="0"/>
      </w:pPr>
      <w:r>
        <w:t>We do not claim direct Ephb1–GSDMD structural interaction without direct interaction evidence.</w:t>
      </w:r>
    </w:p>
    <w:p w14:paraId="5476AB69" w14:textId="77777777" w:rsidR="003C6708" w:rsidRDefault="00000000">
      <w:pPr>
        <w:pStyle w:val="a0"/>
        <w:spacing w:after="0"/>
      </w:pPr>
      <w:r>
        <w:t>We do not claim precise in situ CL accessibility constants; we interpret CL metabolic state as a proxy mediator.</w:t>
      </w:r>
    </w:p>
    <w:p w14:paraId="679AB774" w14:textId="77777777" w:rsidR="003C6708" w:rsidRDefault="00000000">
      <w:pPr>
        <w:pStyle w:val="a0"/>
        <w:spacing w:after="0"/>
      </w:pPr>
      <w:r>
        <w:t>We do not treat mediation analysis as mechanistic proof; it provides a testable priority list.</w:t>
      </w:r>
    </w:p>
    <w:p w14:paraId="357CD4F4" w14:textId="77777777" w:rsidR="003C6708" w:rsidRDefault="00000000">
      <w:pPr>
        <w:jc w:val="center"/>
      </w:pPr>
      <w:r>
        <w:t>————————————————————</w:t>
      </w:r>
    </w:p>
    <w:p w14:paraId="11025921" w14:textId="77777777" w:rsidR="003C6708" w:rsidRDefault="00000000">
      <w:pPr>
        <w:pStyle w:val="21"/>
      </w:pPr>
      <w:r>
        <w:t>D5 — Implications, next steps, and take-home conclusion</w:t>
      </w:r>
    </w:p>
    <w:p w14:paraId="2221FB37" w14:textId="77777777" w:rsidR="003C6708" w:rsidRDefault="00000000">
      <w:pPr>
        <w:pStyle w:val="31"/>
      </w:pPr>
      <w:r>
        <w:t>Claim spine (English skeleton)</w:t>
      </w:r>
    </w:p>
    <w:p w14:paraId="0CAF379D" w14:textId="77777777" w:rsidR="003C6708" w:rsidRDefault="00000000">
      <w:pPr>
        <w:pStyle w:val="a0"/>
        <w:spacing w:after="0"/>
      </w:pPr>
      <w:r>
        <w:t>Implication (brief): execution-layer capping offers finer control than shutting down upstream activation.</w:t>
      </w:r>
    </w:p>
    <w:p w14:paraId="38F53237" w14:textId="77777777" w:rsidR="003C6708" w:rsidRDefault="00000000">
      <w:pPr>
        <w:pStyle w:val="a0"/>
        <w:spacing w:after="0"/>
      </w:pPr>
      <w:r>
        <w:t>Next step 1: test causal sufficiency of CL rescue vs ROS lowering in KO.</w:t>
      </w:r>
    </w:p>
    <w:p w14:paraId="319439F4" w14:textId="77777777" w:rsidR="003C6708" w:rsidRDefault="00000000">
      <w:pPr>
        <w:pStyle w:val="a0"/>
        <w:spacing w:after="0"/>
      </w:pPr>
      <w:r>
        <w:t>Next step 2: validate mediation-prioritized pathways with 'pathway → axis/CL → pore/output' three-step logic.</w:t>
      </w:r>
    </w:p>
    <w:p w14:paraId="1E80148B" w14:textId="77777777" w:rsidR="003C6708" w:rsidRDefault="00000000">
      <w:pPr>
        <w:pStyle w:val="a0"/>
        <w:spacing w:after="0"/>
      </w:pPr>
      <w:r>
        <w:t>Take-home: Ephb1 shapes membrane environment (CL state) to shift execution threshold, explaining activation–output decoupling.</w:t>
      </w:r>
    </w:p>
    <w:p w14:paraId="32A0D63D" w14:textId="77777777" w:rsidR="003C6708" w:rsidRDefault="00000000">
      <w:pPr>
        <w:pStyle w:val="31"/>
      </w:pPr>
      <w:r>
        <w:lastRenderedPageBreak/>
        <w:t>D5 Draft paragraph (English)</w:t>
      </w:r>
    </w:p>
    <w:p w14:paraId="5F47AF69" w14:textId="77777777" w:rsidR="003C6708" w:rsidRDefault="00000000">
      <w:r>
        <w:t>A practical implication of an execution-layer cap is that inflammatory signaling could, in principle, be modulated without fully shutting down upstream inflammasome activation—potentially preserving host defense while keeping lytic damage below a pathological threshold. To close the causal loop, the first priority is to test sufficiency at the mediator level: in Ephb1-deficient macrophages, compare ROS lowering versus direct CL restoration (with matched covariate control) and ask whether CL rescue can recover early GSDMD-NT membrane engagement and IL-1β lytic release even when ROS is not the sole driver. Second, we need to validate the mediation-prioritized downstream pathways using a strict hierarchy-consistent workflow: pathway perturbation should first shift CL/axis coordinates, then shift early pore/output readouts, while minimally affecting priming/assembly metrics. Together, these experiments will determine whether the proposed chain is merely a correlated scaffold or a mechanistically sufficient route. Take-home, in two sentences: Ephb1 acts as an upstream signal input that remodels the membrane environment (captured by CL metabolic state) to shift the functional threshold and ceiling of GSDMD pore output, thereby explaining why activation readouts can be similar while lytic outputs diverge. Framing pyroptosis in threshold terms—pore formation, repair capping, and rupture separability—turns activation–output decoupling from an empirical observation into a testable, portable model for interpreting inflammasome outputs.</w:t>
      </w:r>
    </w:p>
    <w:p w14:paraId="5C213366" w14:textId="77777777" w:rsidR="003C6708" w:rsidRDefault="00000000">
      <w:pPr>
        <w:jc w:val="center"/>
      </w:pPr>
      <w:r>
        <w:t>————————————————————</w:t>
      </w:r>
    </w:p>
    <w:p w14:paraId="00BDAB3F" w14:textId="77777777" w:rsidR="003C6708" w:rsidRDefault="00000000">
      <w:pPr>
        <w:pStyle w:val="21"/>
      </w:pPr>
      <w:r>
        <w:t>Change log (manual, for backtracking decisions)</w:t>
      </w:r>
    </w:p>
    <w:p w14:paraId="075F458A" w14:textId="77777777" w:rsidR="003C6708" w:rsidRDefault="00000000">
      <w:pPr>
        <w:spacing w:before="40" w:after="40"/>
        <w:ind w:left="360"/>
      </w:pPr>
      <w:r>
        <w:t>Keep this short. One line per meaningful decision.</w:t>
      </w:r>
    </w:p>
    <w:tbl>
      <w:tblPr>
        <w:tblStyle w:val="aff1"/>
        <w:tblW w:w="0" w:type="auto"/>
        <w:tblLook w:val="04A0" w:firstRow="1" w:lastRow="0" w:firstColumn="1" w:lastColumn="0" w:noHBand="0" w:noVBand="1"/>
      </w:tblPr>
      <w:tblGrid>
        <w:gridCol w:w="2160"/>
        <w:gridCol w:w="2160"/>
        <w:gridCol w:w="2160"/>
        <w:gridCol w:w="2160"/>
      </w:tblGrid>
      <w:tr w:rsidR="003C6708" w14:paraId="31367E76" w14:textId="77777777">
        <w:tc>
          <w:tcPr>
            <w:tcW w:w="2160" w:type="dxa"/>
          </w:tcPr>
          <w:p w14:paraId="6CFB74B5" w14:textId="77777777" w:rsidR="003C6708" w:rsidRDefault="00000000">
            <w:r>
              <w:t>Date</w:t>
            </w:r>
          </w:p>
        </w:tc>
        <w:tc>
          <w:tcPr>
            <w:tcW w:w="2160" w:type="dxa"/>
          </w:tcPr>
          <w:p w14:paraId="05B9243A" w14:textId="77777777" w:rsidR="003C6708" w:rsidRDefault="00000000">
            <w:r>
              <w:t>D#</w:t>
            </w:r>
          </w:p>
        </w:tc>
        <w:tc>
          <w:tcPr>
            <w:tcW w:w="2160" w:type="dxa"/>
          </w:tcPr>
          <w:p w14:paraId="2AAF867C" w14:textId="77777777" w:rsidR="003C6708" w:rsidRDefault="00000000">
            <w:r>
              <w:t>Change</w:t>
            </w:r>
          </w:p>
        </w:tc>
        <w:tc>
          <w:tcPr>
            <w:tcW w:w="2160" w:type="dxa"/>
          </w:tcPr>
          <w:p w14:paraId="2AC70C7A" w14:textId="77777777" w:rsidR="003C6708" w:rsidRDefault="00000000">
            <w:r>
              <w:t>Rationale</w:t>
            </w:r>
          </w:p>
        </w:tc>
      </w:tr>
      <w:tr w:rsidR="003C6708" w14:paraId="3BEBE897" w14:textId="77777777">
        <w:tc>
          <w:tcPr>
            <w:tcW w:w="2160" w:type="dxa"/>
          </w:tcPr>
          <w:p w14:paraId="129E3C0D" w14:textId="77777777" w:rsidR="003C6708" w:rsidRDefault="00000000">
            <w:r>
              <w:t>2026-01-26</w:t>
            </w:r>
          </w:p>
        </w:tc>
        <w:tc>
          <w:tcPr>
            <w:tcW w:w="2160" w:type="dxa"/>
          </w:tcPr>
          <w:p w14:paraId="5B7287A0" w14:textId="77777777" w:rsidR="003C6708" w:rsidRDefault="00000000">
            <w:r>
              <w:t>Fill D1–D5 English paragraphs + results bridge from CN discussion logic; keep TRACE blocks for auditability.</w:t>
            </w:r>
          </w:p>
        </w:tc>
        <w:tc>
          <w:tcPr>
            <w:tcW w:w="2160" w:type="dxa"/>
          </w:tcPr>
          <w:p w14:paraId="53C9FB36" w14:textId="77777777" w:rsidR="003C6708" w:rsidRDefault="00000000">
            <w:r>
              <w:t>Produce a readable, supervisor-reviewable Discussion while retaining CN trace anchors for backtracking.</w:t>
            </w:r>
          </w:p>
        </w:tc>
        <w:tc>
          <w:tcPr>
            <w:tcW w:w="2160" w:type="dxa"/>
          </w:tcPr>
          <w:p w14:paraId="06B72AA6" w14:textId="77777777" w:rsidR="003C6708" w:rsidRDefault="003C6708"/>
        </w:tc>
      </w:tr>
    </w:tbl>
    <w:p w14:paraId="6446AADE" w14:textId="77777777" w:rsidR="00943617" w:rsidRDefault="00943617"/>
    <w:sectPr w:rsidR="0094361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35838651">
    <w:abstractNumId w:val="8"/>
  </w:num>
  <w:num w:numId="2" w16cid:durableId="1234268566">
    <w:abstractNumId w:val="6"/>
  </w:num>
  <w:num w:numId="3" w16cid:durableId="1272593240">
    <w:abstractNumId w:val="5"/>
  </w:num>
  <w:num w:numId="4" w16cid:durableId="9259984">
    <w:abstractNumId w:val="4"/>
  </w:num>
  <w:num w:numId="5" w16cid:durableId="1448740342">
    <w:abstractNumId w:val="7"/>
  </w:num>
  <w:num w:numId="6" w16cid:durableId="204803312">
    <w:abstractNumId w:val="3"/>
  </w:num>
  <w:num w:numId="7" w16cid:durableId="1125268770">
    <w:abstractNumId w:val="2"/>
  </w:num>
  <w:num w:numId="8" w16cid:durableId="504321161">
    <w:abstractNumId w:val="1"/>
  </w:num>
  <w:num w:numId="9" w16cid:durableId="1214731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301"/>
    <w:rsid w:val="0015074B"/>
    <w:rsid w:val="0029639D"/>
    <w:rsid w:val="00326F90"/>
    <w:rsid w:val="003C6708"/>
    <w:rsid w:val="0080527D"/>
    <w:rsid w:val="0094361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E358AE"/>
  <w14:defaultImageDpi w14:val="300"/>
  <w15:docId w15:val="{D826E003-A831-EC4E-9D50-1CDDE9AC8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2162</Words>
  <Characters>12325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宝铭 龚</cp:lastModifiedBy>
  <cp:revision>2</cp:revision>
  <dcterms:created xsi:type="dcterms:W3CDTF">2013-12-23T23:15:00Z</dcterms:created>
  <dcterms:modified xsi:type="dcterms:W3CDTF">2026-01-26T06:07:00Z</dcterms:modified>
  <cp:category/>
</cp:coreProperties>
</file>