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pPr/>
      <w:r>
        <w:rPr>
          <w:sz w:val="22"/>
        </w:rPr>
        <w:t>Inflammasome activation does not necessarily translate into proportional IL-1β release and pyroptotic output, yet the upstream mechanisms that constrain terminal execution remain unclear. Increasing evidence implicates mitochondrial membrane context, particularly cardiolipin status, as a critical but poorly understood regulator of inflammasome output. We asked whether loss of the receptor EphB1 reshapes mitochondrial cardiolipin-dependent membrane context to shift the execution threshold of gasdermin D and thereby attenuate inflammasome-induced lytic output. Using primary murine peritoneal macrophages, we combined genetic perturbation, layered functional positioning of inflammasome signaling, lipid accessibility profiling, pharmacological modulation of cardiolipin state, and integrative multi-omics analyses to dissect causal links between upstream signaling, membrane context, and terminal output. EphB1 deficiency consistently reduced IL-1β release and cell lysis across multiple inflammasome stimuli without affecting transcriptional priming, ASC assembly, or caspase-1 activation, localizing the defect to the execution stage. This was associated with impaired mitochondrial enrichment of GSDMD-NT and a coordinated reduction in cardiolipin abundance and accessibility, phenocopied by pharmacological disruption of cardiolipin state. These findings support a membrane-mediated model in which EphB1-dependent signaling remodels cardiolipin-centered membrane context to tune the functional threshold of GSDMD pore formation and limit inflammasome output, providing a mechanistic framework for dissociating activation from output intensity.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