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141C" w14:textId="77777777" w:rsidR="00017959" w:rsidRDefault="00000000">
      <w:pPr>
        <w:pStyle w:val="1"/>
        <w:tabs>
          <w:tab w:val="center" w:pos="4819"/>
        </w:tabs>
        <w:spacing w:beforeLines="150" w:before="468" w:after="120" w:line="360" w:lineRule="auto"/>
        <w:rPr>
          <w:rFonts w:ascii="华文中宋" w:eastAsia="华文中宋" w:hAnsi="华文中宋"/>
          <w:sz w:val="36"/>
          <w:szCs w:val="36"/>
        </w:rPr>
      </w:pPr>
      <w:r>
        <w:rPr>
          <w:rFonts w:ascii="华文中宋" w:eastAsia="华文中宋" w:hAnsi="华文中宋"/>
          <w:sz w:val="28"/>
          <w:szCs w:val="28"/>
        </w:rPr>
        <w:tab/>
      </w:r>
      <w:r>
        <w:rPr>
          <w:rFonts w:ascii="华文中宋" w:eastAsia="华文中宋" w:hAnsi="华文中宋" w:hint="eastAsia"/>
          <w:sz w:val="28"/>
          <w:szCs w:val="28"/>
        </w:rPr>
        <w:t>生命科学学院博士生学位论文预审及学位评定分委会专家组意见表（1）</w:t>
      </w:r>
    </w:p>
    <w:tbl>
      <w:tblPr>
        <w:tblW w:w="983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381"/>
        <w:gridCol w:w="1559"/>
        <w:gridCol w:w="709"/>
        <w:gridCol w:w="708"/>
        <w:gridCol w:w="1985"/>
        <w:gridCol w:w="709"/>
        <w:gridCol w:w="1120"/>
        <w:gridCol w:w="1953"/>
      </w:tblGrid>
      <w:tr w:rsidR="00017959" w14:paraId="6E99DFF0" w14:textId="77777777">
        <w:trPr>
          <w:jc w:val="center"/>
        </w:trPr>
        <w:tc>
          <w:tcPr>
            <w:tcW w:w="710" w:type="dxa"/>
          </w:tcPr>
          <w:p w14:paraId="0C85BA73" w14:textId="77777777" w:rsidR="00017959" w:rsidRDefault="00000000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姓名</w:t>
            </w:r>
          </w:p>
        </w:tc>
        <w:tc>
          <w:tcPr>
            <w:tcW w:w="2649" w:type="dxa"/>
            <w:gridSpan w:val="3"/>
          </w:tcPr>
          <w:p w14:paraId="046DB174" w14:textId="4E23AB59" w:rsidR="00017959" w:rsidRDefault="005D1DEE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龚宝铭</w:t>
            </w:r>
          </w:p>
        </w:tc>
        <w:tc>
          <w:tcPr>
            <w:tcW w:w="708" w:type="dxa"/>
          </w:tcPr>
          <w:p w14:paraId="6D1A70A8" w14:textId="77777777" w:rsidR="00017959" w:rsidRDefault="00000000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院系</w:t>
            </w:r>
          </w:p>
        </w:tc>
        <w:tc>
          <w:tcPr>
            <w:tcW w:w="1985" w:type="dxa"/>
          </w:tcPr>
          <w:p w14:paraId="20B24CD1" w14:textId="23FC64D7" w:rsidR="00017959" w:rsidRDefault="005D1DEE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生命科学学院</w:t>
            </w:r>
          </w:p>
        </w:tc>
        <w:tc>
          <w:tcPr>
            <w:tcW w:w="709" w:type="dxa"/>
          </w:tcPr>
          <w:p w14:paraId="382D1313" w14:textId="77777777" w:rsidR="00017959" w:rsidRDefault="00000000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专业</w:t>
            </w:r>
          </w:p>
        </w:tc>
        <w:tc>
          <w:tcPr>
            <w:tcW w:w="3073" w:type="dxa"/>
            <w:gridSpan w:val="2"/>
          </w:tcPr>
          <w:p w14:paraId="4ACC3B69" w14:textId="25CB9AD8" w:rsidR="00017959" w:rsidRDefault="005D1DEE">
            <w:pPr>
              <w:pStyle w:val="2"/>
              <w:spacing w:line="300" w:lineRule="auto"/>
              <w:ind w:firstLineChars="0" w:firstLine="0"/>
              <w:jc w:val="center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生物学</w:t>
            </w:r>
            <w:r>
              <w:rPr>
                <w:rFonts w:eastAsia="楷体_GB2312" w:hint="eastAsia"/>
                <w:color w:val="000000"/>
              </w:rPr>
              <w:t xml:space="preserve"> </w:t>
            </w:r>
          </w:p>
        </w:tc>
      </w:tr>
      <w:tr w:rsidR="00017959" w14:paraId="2F2B56B8" w14:textId="77777777">
        <w:trPr>
          <w:jc w:val="center"/>
        </w:trPr>
        <w:tc>
          <w:tcPr>
            <w:tcW w:w="710" w:type="dxa"/>
          </w:tcPr>
          <w:p w14:paraId="02D9197A" w14:textId="77777777" w:rsidR="00017959" w:rsidRDefault="00000000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学号</w:t>
            </w:r>
          </w:p>
        </w:tc>
        <w:tc>
          <w:tcPr>
            <w:tcW w:w="1940" w:type="dxa"/>
            <w:gridSpan w:val="2"/>
          </w:tcPr>
          <w:p w14:paraId="26447141" w14:textId="1E375CC9" w:rsidR="00017959" w:rsidRDefault="005D1DEE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22110</w:t>
            </w:r>
            <w:r w:rsidR="00557A0B">
              <w:rPr>
                <w:rFonts w:eastAsia="楷体_GB2312" w:hint="eastAsia"/>
                <w:color w:val="000000"/>
              </w:rPr>
              <w:t>7</w:t>
            </w:r>
            <w:r>
              <w:rPr>
                <w:rFonts w:eastAsia="楷体_GB2312" w:hint="eastAsia"/>
                <w:color w:val="000000"/>
              </w:rPr>
              <w:t>00022</w:t>
            </w:r>
          </w:p>
        </w:tc>
        <w:tc>
          <w:tcPr>
            <w:tcW w:w="709" w:type="dxa"/>
          </w:tcPr>
          <w:p w14:paraId="476F22F3" w14:textId="77777777" w:rsidR="00017959" w:rsidRDefault="00000000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类别</w:t>
            </w:r>
          </w:p>
        </w:tc>
        <w:tc>
          <w:tcPr>
            <w:tcW w:w="3402" w:type="dxa"/>
            <w:gridSpan w:val="3"/>
          </w:tcPr>
          <w:p w14:paraId="661F6D57" w14:textId="5E59B9E0" w:rsidR="00017959" w:rsidRDefault="00557A0B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□学术学位博士</w:t>
            </w:r>
            <w:r>
              <w:rPr>
                <w:rFonts w:eastAsia="楷体_GB2312" w:hint="eastAsia"/>
                <w:color w:val="000000"/>
              </w:rPr>
              <w:t xml:space="preserve"> </w:t>
            </w:r>
            <w:r>
              <w:rPr>
                <w:rFonts w:eastAsia="楷体_GB2312" w:hint="eastAsia"/>
                <w:color w:val="000000"/>
              </w:rPr>
              <w:t>□专业学位博士</w:t>
            </w:r>
          </w:p>
        </w:tc>
        <w:tc>
          <w:tcPr>
            <w:tcW w:w="1120" w:type="dxa"/>
          </w:tcPr>
          <w:p w14:paraId="14433186" w14:textId="77777777" w:rsidR="00017959" w:rsidRDefault="00000000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培养方式</w:t>
            </w:r>
            <w:r>
              <w:rPr>
                <w:rFonts w:eastAsia="楷体_GB2312" w:hint="eastAsia"/>
                <w:color w:val="000000"/>
              </w:rPr>
              <w:t xml:space="preserve"> </w:t>
            </w:r>
          </w:p>
        </w:tc>
        <w:tc>
          <w:tcPr>
            <w:tcW w:w="1953" w:type="dxa"/>
          </w:tcPr>
          <w:p w14:paraId="164B8A3C" w14:textId="39901BFF" w:rsidR="00017959" w:rsidRDefault="00000000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□定向</w:t>
            </w:r>
            <w:r w:rsidR="00557A0B">
              <w:rPr>
                <w:rFonts w:eastAsia="楷体_GB2312" w:hint="eastAsia"/>
                <w:color w:val="000000"/>
              </w:rPr>
              <w:t>□</w:t>
            </w:r>
            <w:r>
              <w:rPr>
                <w:rFonts w:eastAsia="楷体_GB2312" w:hint="eastAsia"/>
                <w:color w:val="000000"/>
              </w:rPr>
              <w:t>非定向</w:t>
            </w:r>
          </w:p>
        </w:tc>
      </w:tr>
      <w:tr w:rsidR="00017959" w14:paraId="71E1A77E" w14:textId="77777777">
        <w:trPr>
          <w:jc w:val="center"/>
        </w:trPr>
        <w:tc>
          <w:tcPr>
            <w:tcW w:w="1091" w:type="dxa"/>
            <w:gridSpan w:val="2"/>
          </w:tcPr>
          <w:p w14:paraId="2565C38C" w14:textId="77777777" w:rsidR="00017959" w:rsidRDefault="00000000">
            <w:pPr>
              <w:spacing w:line="300" w:lineRule="auto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论文题目</w:t>
            </w:r>
          </w:p>
        </w:tc>
        <w:tc>
          <w:tcPr>
            <w:tcW w:w="4961" w:type="dxa"/>
            <w:gridSpan w:val="4"/>
          </w:tcPr>
          <w:p w14:paraId="784253AF" w14:textId="6F27CE98" w:rsidR="00017959" w:rsidRDefault="005D1DEE">
            <w:pPr>
              <w:spacing w:line="300" w:lineRule="auto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《</w:t>
            </w:r>
            <w:r w:rsidRPr="009539DA">
              <w:rPr>
                <w:rFonts w:eastAsia="楷体_GB2312" w:hint="eastAsia"/>
                <w:color w:val="000000"/>
              </w:rPr>
              <w:t>Ephb1</w:t>
            </w:r>
            <w:r w:rsidRPr="009539DA">
              <w:rPr>
                <w:rFonts w:eastAsia="楷体_GB2312" w:hint="eastAsia"/>
                <w:color w:val="000000"/>
              </w:rPr>
              <w:t>调控线粒体心磷脂含量减轻</w:t>
            </w:r>
            <w:r w:rsidRPr="009539DA">
              <w:rPr>
                <w:rFonts w:eastAsia="楷体_GB2312" w:hint="eastAsia"/>
                <w:color w:val="000000"/>
              </w:rPr>
              <w:t>NLRP3</w:t>
            </w:r>
            <w:r w:rsidRPr="009539DA">
              <w:rPr>
                <w:rFonts w:eastAsia="楷体_GB2312" w:hint="eastAsia"/>
                <w:color w:val="000000"/>
              </w:rPr>
              <w:t>炎症小体引发的焦亡</w:t>
            </w:r>
            <w:r>
              <w:rPr>
                <w:rFonts w:eastAsia="楷体_GB2312" w:hint="eastAsia"/>
                <w:color w:val="000000"/>
              </w:rPr>
              <w:t>》</w:t>
            </w:r>
          </w:p>
        </w:tc>
        <w:tc>
          <w:tcPr>
            <w:tcW w:w="709" w:type="dxa"/>
          </w:tcPr>
          <w:p w14:paraId="16B476B4" w14:textId="77777777" w:rsidR="00017959" w:rsidRDefault="00000000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导师</w:t>
            </w:r>
          </w:p>
        </w:tc>
        <w:tc>
          <w:tcPr>
            <w:tcW w:w="3073" w:type="dxa"/>
            <w:gridSpan w:val="2"/>
          </w:tcPr>
          <w:p w14:paraId="2991D79E" w14:textId="24BA0F55" w:rsidR="00017959" w:rsidRDefault="005D1DEE" w:rsidP="00557A0B">
            <w:pPr>
              <w:pStyle w:val="2"/>
              <w:spacing w:line="300" w:lineRule="auto"/>
              <w:ind w:firstLineChars="0" w:firstLine="0"/>
              <w:jc w:val="center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吴晓晖</w:t>
            </w:r>
            <w:r>
              <w:rPr>
                <w:rFonts w:eastAsia="楷体_GB2312" w:hint="eastAsia"/>
                <w:color w:val="000000"/>
              </w:rPr>
              <w:t xml:space="preserve"> </w:t>
            </w:r>
            <w:r>
              <w:rPr>
                <w:rFonts w:eastAsia="楷体_GB2312" w:hint="eastAsia"/>
                <w:color w:val="000000"/>
              </w:rPr>
              <w:t>教授</w:t>
            </w:r>
          </w:p>
        </w:tc>
      </w:tr>
      <w:tr w:rsidR="00017959" w14:paraId="7DD41829" w14:textId="77777777" w:rsidTr="00682AC0">
        <w:trPr>
          <w:trHeight w:val="11226"/>
          <w:jc w:val="center"/>
        </w:trPr>
        <w:tc>
          <w:tcPr>
            <w:tcW w:w="9834" w:type="dxa"/>
            <w:gridSpan w:val="9"/>
          </w:tcPr>
          <w:p w14:paraId="7E882A10" w14:textId="77777777" w:rsidR="00017959" w:rsidRDefault="00000000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导师（含专业学位校外兼职导师）审核意见（可另加页</w:t>
            </w:r>
            <w:r>
              <w:rPr>
                <w:rFonts w:eastAsia="楷体_GB2312" w:hint="eastAsia"/>
                <w:color w:val="000000"/>
              </w:rPr>
              <w:t>)</w:t>
            </w:r>
            <w:r>
              <w:rPr>
                <w:rFonts w:eastAsia="楷体_GB2312" w:hint="eastAsia"/>
                <w:color w:val="000000"/>
              </w:rPr>
              <w:t>：</w:t>
            </w:r>
          </w:p>
          <w:p w14:paraId="6A474C59" w14:textId="77777777" w:rsidR="009539DA" w:rsidRPr="009539DA" w:rsidRDefault="009539DA" w:rsidP="009539DA">
            <w:pPr>
              <w:pStyle w:val="2"/>
              <w:spacing w:line="300" w:lineRule="auto"/>
              <w:rPr>
                <w:rFonts w:eastAsia="楷体_GB2312"/>
                <w:color w:val="000000"/>
              </w:rPr>
            </w:pPr>
            <w:r w:rsidRPr="009539DA">
              <w:rPr>
                <w:rFonts w:eastAsia="楷体_GB2312" w:hint="eastAsia"/>
                <w:color w:val="000000"/>
              </w:rPr>
              <w:t>龚宝铭同学的博士学位论文《</w:t>
            </w:r>
            <w:r w:rsidRPr="009539DA">
              <w:rPr>
                <w:rFonts w:eastAsia="楷体_GB2312" w:hint="eastAsia"/>
                <w:color w:val="000000"/>
              </w:rPr>
              <w:t>Ephb1</w:t>
            </w:r>
            <w:r w:rsidRPr="009539DA">
              <w:rPr>
                <w:rFonts w:eastAsia="楷体_GB2312" w:hint="eastAsia"/>
                <w:color w:val="000000"/>
              </w:rPr>
              <w:t>调控线粒体心磷脂含量减轻</w:t>
            </w:r>
            <w:r w:rsidRPr="009539DA">
              <w:rPr>
                <w:rFonts w:eastAsia="楷体_GB2312" w:hint="eastAsia"/>
                <w:color w:val="000000"/>
              </w:rPr>
              <w:t>NLRP3</w:t>
            </w:r>
            <w:r w:rsidRPr="009539DA">
              <w:rPr>
                <w:rFonts w:eastAsia="楷体_GB2312" w:hint="eastAsia"/>
                <w:color w:val="000000"/>
              </w:rPr>
              <w:t>炎症小体引发的焦亡》聚焦</w:t>
            </w:r>
            <w:r w:rsidRPr="009539DA">
              <w:rPr>
                <w:rFonts w:eastAsia="楷体_GB2312" w:hint="eastAsia"/>
                <w:color w:val="000000"/>
              </w:rPr>
              <w:t>Ephb1</w:t>
            </w:r>
            <w:r w:rsidRPr="009539DA">
              <w:rPr>
                <w:rFonts w:eastAsia="楷体_GB2312" w:hint="eastAsia"/>
                <w:color w:val="000000"/>
              </w:rPr>
              <w:t>调控炎症小体通路的分子机制，选题敏锐，兼具重要基础研究价值与药物转化潜力。</w:t>
            </w:r>
            <w:r w:rsidRPr="009539DA">
              <w:rPr>
                <w:rFonts w:eastAsia="楷体_GB2312" w:hint="eastAsia"/>
                <w:color w:val="000000"/>
              </w:rPr>
              <w:t>Ephb1</w:t>
            </w:r>
            <w:r w:rsidRPr="009539DA">
              <w:rPr>
                <w:rFonts w:eastAsia="楷体_GB2312" w:hint="eastAsia"/>
                <w:color w:val="000000"/>
              </w:rPr>
              <w:t>作为受体酪氨酸激酶，其生理作用尚待阐明。前期研究提示其参与代谢调控，本文则从炎症小体遗传筛选切入，系统揭示其在炎症输出中的核心地位。</w:t>
            </w:r>
          </w:p>
          <w:p w14:paraId="4C48D802" w14:textId="77777777" w:rsidR="009539DA" w:rsidRPr="009539DA" w:rsidRDefault="009539DA" w:rsidP="009539DA">
            <w:pPr>
              <w:pStyle w:val="2"/>
              <w:spacing w:line="300" w:lineRule="auto"/>
              <w:rPr>
                <w:rFonts w:eastAsia="楷体_GB2312"/>
                <w:color w:val="000000"/>
              </w:rPr>
            </w:pPr>
          </w:p>
          <w:p w14:paraId="2193B13A" w14:textId="77777777" w:rsidR="009539DA" w:rsidRPr="009539DA" w:rsidRDefault="009539DA" w:rsidP="009539DA">
            <w:pPr>
              <w:pStyle w:val="2"/>
              <w:spacing w:line="300" w:lineRule="auto"/>
              <w:rPr>
                <w:rFonts w:eastAsia="楷体_GB2312"/>
                <w:color w:val="000000"/>
              </w:rPr>
            </w:pPr>
            <w:r w:rsidRPr="009539DA">
              <w:rPr>
                <w:rFonts w:eastAsia="楷体_GB2312" w:hint="eastAsia"/>
                <w:color w:val="000000"/>
              </w:rPr>
              <w:t>研究方法上，该研究以原代小鼠腹腔巨噬细胞为模型，从遗传筛选中锁定</w:t>
            </w:r>
            <w:r w:rsidRPr="009539DA">
              <w:rPr>
                <w:rFonts w:eastAsia="楷体_GB2312" w:hint="eastAsia"/>
                <w:color w:val="000000"/>
              </w:rPr>
              <w:t>Ephb1</w:t>
            </w:r>
            <w:r w:rsidRPr="009539DA">
              <w:rPr>
                <w:rFonts w:eastAsia="楷体_GB2312" w:hint="eastAsia"/>
                <w:color w:val="000000"/>
              </w:rPr>
              <w:t>为关键信号节点。通过检测</w:t>
            </w:r>
            <w:r w:rsidRPr="009539DA">
              <w:rPr>
                <w:rFonts w:eastAsia="楷体_GB2312" w:hint="eastAsia"/>
                <w:color w:val="000000"/>
              </w:rPr>
              <w:t>IL-1</w:t>
            </w:r>
            <w:r w:rsidRPr="009539DA">
              <w:rPr>
                <w:rFonts w:eastAsia="楷体_GB2312" w:hint="eastAsia"/>
                <w:color w:val="000000"/>
              </w:rPr>
              <w:t>β释放和细胞裂解，系统评估其对炎症小体各步骤的影响；结合</w:t>
            </w:r>
            <w:r w:rsidRPr="009539DA">
              <w:rPr>
                <w:rFonts w:eastAsia="楷体_GB2312" w:hint="eastAsia"/>
                <w:color w:val="000000"/>
              </w:rPr>
              <w:t>NAO</w:t>
            </w:r>
            <w:r w:rsidRPr="009539DA">
              <w:rPr>
                <w:rFonts w:eastAsia="楷体_GB2312" w:hint="eastAsia"/>
                <w:color w:val="000000"/>
              </w:rPr>
              <w:t>染色、脂质组学、药理干预及多组学整合，深入探讨线粒体心磷脂（</w:t>
            </w:r>
            <w:r w:rsidRPr="009539DA">
              <w:rPr>
                <w:rFonts w:eastAsia="楷体_GB2312" w:hint="eastAsia"/>
                <w:color w:val="000000"/>
              </w:rPr>
              <w:t>CL</w:t>
            </w:r>
            <w:r w:rsidRPr="009539DA">
              <w:rPr>
                <w:rFonts w:eastAsia="楷体_GB2312" w:hint="eastAsia"/>
                <w:color w:val="000000"/>
              </w:rPr>
              <w:t>）变化及其上游机制。结果显示，</w:t>
            </w:r>
            <w:r w:rsidRPr="009539DA">
              <w:rPr>
                <w:rFonts w:eastAsia="楷体_GB2312" w:hint="eastAsia"/>
                <w:color w:val="000000"/>
              </w:rPr>
              <w:t>Ephb1</w:t>
            </w:r>
            <w:r w:rsidRPr="009539DA">
              <w:rPr>
                <w:rFonts w:eastAsia="楷体_GB2312" w:hint="eastAsia"/>
                <w:color w:val="000000"/>
              </w:rPr>
              <w:t>缺失在多种激活条件下均显著抑制</w:t>
            </w:r>
            <w:r w:rsidRPr="009539DA">
              <w:rPr>
                <w:rFonts w:eastAsia="楷体_GB2312" w:hint="eastAsia"/>
                <w:color w:val="000000"/>
              </w:rPr>
              <w:t>IL-1</w:t>
            </w:r>
            <w:r w:rsidRPr="009539DA">
              <w:rPr>
                <w:rFonts w:eastAsia="楷体_GB2312" w:hint="eastAsia"/>
                <w:color w:val="000000"/>
              </w:rPr>
              <w:t>β释放与细胞焦亡，但不影响启动、</w:t>
            </w:r>
            <w:r w:rsidRPr="009539DA">
              <w:rPr>
                <w:rFonts w:eastAsia="楷体_GB2312" w:hint="eastAsia"/>
                <w:color w:val="000000"/>
              </w:rPr>
              <w:t>ASC</w:t>
            </w:r>
            <w:r w:rsidRPr="009539DA">
              <w:rPr>
                <w:rFonts w:eastAsia="楷体_GB2312" w:hint="eastAsia"/>
                <w:color w:val="000000"/>
              </w:rPr>
              <w:t>寡聚化及</w:t>
            </w:r>
            <w:r w:rsidRPr="009539DA">
              <w:rPr>
                <w:rFonts w:eastAsia="楷体_GB2312" w:hint="eastAsia"/>
                <w:color w:val="000000"/>
              </w:rPr>
              <w:t>caspase-1</w:t>
            </w:r>
            <w:r w:rsidRPr="009539DA">
              <w:rPr>
                <w:rFonts w:eastAsia="楷体_GB2312" w:hint="eastAsia"/>
                <w:color w:val="000000"/>
              </w:rPr>
              <w:t>活化，提示调控发生在执行阶段。进一步发现，</w:t>
            </w:r>
            <w:r w:rsidRPr="009539DA">
              <w:rPr>
                <w:rFonts w:eastAsia="楷体_GB2312" w:hint="eastAsia"/>
                <w:color w:val="000000"/>
              </w:rPr>
              <w:t>Ephb1</w:t>
            </w:r>
            <w:r w:rsidRPr="009539DA">
              <w:rPr>
                <w:rFonts w:eastAsia="楷体_GB2312" w:hint="eastAsia"/>
                <w:color w:val="000000"/>
              </w:rPr>
              <w:t>缺失削弱</w:t>
            </w:r>
            <w:r w:rsidRPr="009539DA">
              <w:rPr>
                <w:rFonts w:eastAsia="楷体_GB2312" w:hint="eastAsia"/>
                <w:color w:val="000000"/>
              </w:rPr>
              <w:t>GSDMD-NT</w:t>
            </w:r>
            <w:r w:rsidRPr="009539DA">
              <w:rPr>
                <w:rFonts w:eastAsia="楷体_GB2312" w:hint="eastAsia"/>
                <w:color w:val="000000"/>
              </w:rPr>
              <w:t>在线粒体的定位，伴随</w:t>
            </w:r>
            <w:r w:rsidRPr="009539DA">
              <w:rPr>
                <w:rFonts w:eastAsia="楷体_GB2312" w:hint="eastAsia"/>
                <w:color w:val="000000"/>
              </w:rPr>
              <w:t>CL</w:t>
            </w:r>
            <w:r w:rsidRPr="009539DA">
              <w:rPr>
                <w:rFonts w:eastAsia="楷体_GB2312" w:hint="eastAsia"/>
                <w:color w:val="000000"/>
              </w:rPr>
              <w:t>含量下降；药理抑制</w:t>
            </w:r>
            <w:r w:rsidRPr="009539DA">
              <w:rPr>
                <w:rFonts w:eastAsia="楷体_GB2312" w:hint="eastAsia"/>
                <w:color w:val="000000"/>
              </w:rPr>
              <w:t>CL</w:t>
            </w:r>
            <w:r w:rsidRPr="009539DA">
              <w:rPr>
                <w:rFonts w:eastAsia="楷体_GB2312" w:hint="eastAsia"/>
                <w:color w:val="000000"/>
              </w:rPr>
              <w:t>合成或重塑可模拟该表型。多组学分析提示</w:t>
            </w:r>
            <w:r w:rsidRPr="009539DA">
              <w:rPr>
                <w:rFonts w:eastAsia="楷体_GB2312" w:hint="eastAsia"/>
                <w:color w:val="000000"/>
              </w:rPr>
              <w:t>PI3K</w:t>
            </w:r>
            <w:r w:rsidRPr="009539DA">
              <w:rPr>
                <w:rFonts w:eastAsia="楷体_GB2312" w:hint="eastAsia"/>
                <w:color w:val="000000"/>
              </w:rPr>
              <w:t>–</w:t>
            </w:r>
            <w:r w:rsidRPr="009539DA">
              <w:rPr>
                <w:rFonts w:eastAsia="楷体_GB2312" w:hint="eastAsia"/>
                <w:color w:val="000000"/>
              </w:rPr>
              <w:t>AKT</w:t>
            </w:r>
            <w:r w:rsidRPr="009539DA">
              <w:rPr>
                <w:rFonts w:eastAsia="楷体_GB2312" w:hint="eastAsia"/>
                <w:color w:val="000000"/>
              </w:rPr>
              <w:t>–</w:t>
            </w:r>
            <w:r w:rsidRPr="009539DA">
              <w:rPr>
                <w:rFonts w:eastAsia="楷体_GB2312" w:hint="eastAsia"/>
                <w:color w:val="000000"/>
              </w:rPr>
              <w:t>mTOR</w:t>
            </w:r>
            <w:r w:rsidRPr="009539DA">
              <w:rPr>
                <w:rFonts w:eastAsia="楷体_GB2312" w:hint="eastAsia"/>
                <w:color w:val="000000"/>
              </w:rPr>
              <w:t>通路可能介导其调控作用。</w:t>
            </w:r>
          </w:p>
          <w:p w14:paraId="3A02B225" w14:textId="77777777" w:rsidR="009539DA" w:rsidRPr="009539DA" w:rsidRDefault="009539DA" w:rsidP="009539DA">
            <w:pPr>
              <w:pStyle w:val="2"/>
              <w:spacing w:line="300" w:lineRule="auto"/>
              <w:rPr>
                <w:rFonts w:eastAsia="楷体_GB2312"/>
                <w:color w:val="000000"/>
              </w:rPr>
            </w:pPr>
          </w:p>
          <w:p w14:paraId="14791880" w14:textId="77777777" w:rsidR="009539DA" w:rsidRPr="009539DA" w:rsidRDefault="009539DA" w:rsidP="009539DA">
            <w:pPr>
              <w:pStyle w:val="2"/>
              <w:spacing w:line="300" w:lineRule="auto"/>
              <w:rPr>
                <w:rFonts w:eastAsia="楷体_GB2312"/>
                <w:color w:val="000000"/>
              </w:rPr>
            </w:pPr>
            <w:r w:rsidRPr="009539DA">
              <w:rPr>
                <w:rFonts w:eastAsia="楷体_GB2312" w:hint="eastAsia"/>
                <w:color w:val="000000"/>
              </w:rPr>
              <w:t>论文创新性突出：首次揭示</w:t>
            </w:r>
            <w:r w:rsidRPr="009539DA">
              <w:rPr>
                <w:rFonts w:eastAsia="楷体_GB2312" w:hint="eastAsia"/>
                <w:color w:val="000000"/>
              </w:rPr>
              <w:t>Ephb1</w:t>
            </w:r>
            <w:r w:rsidRPr="009539DA">
              <w:rPr>
                <w:rFonts w:eastAsia="楷体_GB2312" w:hint="eastAsia"/>
                <w:color w:val="000000"/>
              </w:rPr>
              <w:t>作为炎症小体上游调控因子，通过重塑线粒体膜环境影响焦亡；阐明其调控</w:t>
            </w:r>
            <w:r w:rsidRPr="009539DA">
              <w:rPr>
                <w:rFonts w:eastAsia="楷体_GB2312" w:hint="eastAsia"/>
                <w:color w:val="000000"/>
              </w:rPr>
              <w:t>CL</w:t>
            </w:r>
            <w:r w:rsidRPr="009539DA">
              <w:rPr>
                <w:rFonts w:eastAsia="楷体_GB2312" w:hint="eastAsia"/>
                <w:color w:val="000000"/>
              </w:rPr>
              <w:t>含量进而影响</w:t>
            </w:r>
            <w:r w:rsidRPr="009539DA">
              <w:rPr>
                <w:rFonts w:eastAsia="楷体_GB2312" w:hint="eastAsia"/>
                <w:color w:val="000000"/>
              </w:rPr>
              <w:t>GSDMD</w:t>
            </w:r>
            <w:r w:rsidRPr="009539DA">
              <w:rPr>
                <w:rFonts w:eastAsia="楷体_GB2312" w:hint="eastAsia"/>
                <w:color w:val="000000"/>
              </w:rPr>
              <w:t>膜结合与线粒体稳态的新机制；为理解</w:t>
            </w:r>
            <w:r w:rsidRPr="009539DA">
              <w:rPr>
                <w:rFonts w:eastAsia="楷体_GB2312" w:hint="eastAsia"/>
                <w:color w:val="000000"/>
              </w:rPr>
              <w:t>Ephb1</w:t>
            </w:r>
            <w:r w:rsidRPr="009539DA">
              <w:rPr>
                <w:rFonts w:eastAsia="楷体_GB2312" w:hint="eastAsia"/>
                <w:color w:val="000000"/>
              </w:rPr>
              <w:t>在肿瘤与代谢疾病中的作用提供了新视角。文献综述系统，实验设计严谨，数据翔实，图表规范，讨论深入，显示出作者扎实的专业基础与独立科研能力。论文结构完整，写作规范，符合博士学位要求。</w:t>
            </w:r>
          </w:p>
          <w:p w14:paraId="04AD9EED" w14:textId="77777777" w:rsidR="009539DA" w:rsidRPr="009539DA" w:rsidRDefault="009539DA" w:rsidP="009539DA">
            <w:pPr>
              <w:pStyle w:val="2"/>
              <w:spacing w:line="300" w:lineRule="auto"/>
              <w:rPr>
                <w:rFonts w:eastAsia="楷体_GB2312"/>
                <w:color w:val="000000"/>
              </w:rPr>
            </w:pPr>
          </w:p>
          <w:p w14:paraId="1A3E0F03" w14:textId="13B694F6" w:rsidR="00017959" w:rsidRPr="009539DA" w:rsidRDefault="009539DA" w:rsidP="009539DA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  <w:r w:rsidRPr="009539DA">
              <w:rPr>
                <w:rFonts w:eastAsia="楷体_GB2312" w:hint="eastAsia"/>
                <w:color w:val="000000"/>
              </w:rPr>
              <w:t>综上，该论文选题明确、方法科学、创新性强、工作量饱满，表明作者已具备独立从事科学研究的能力，达到博士学位论文水平，同意参加预审。</w:t>
            </w:r>
          </w:p>
          <w:p w14:paraId="137EA4E5" w14:textId="77777777" w:rsidR="00017959" w:rsidRDefault="00017959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14:paraId="1E1597C8" w14:textId="77777777" w:rsidR="009539DA" w:rsidRDefault="009539DA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14:paraId="0982DE44" w14:textId="77777777" w:rsidR="009539DA" w:rsidRDefault="009539DA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14:paraId="105B92F4" w14:textId="77777777" w:rsidR="009539DA" w:rsidRDefault="009539DA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14:paraId="7F51A3A8" w14:textId="77777777" w:rsidR="009539DA" w:rsidRPr="00682AC0" w:rsidRDefault="009539DA">
            <w:pPr>
              <w:pStyle w:val="2"/>
              <w:spacing w:line="300" w:lineRule="auto"/>
              <w:ind w:firstLineChars="0" w:firstLine="0"/>
              <w:rPr>
                <w:rFonts w:eastAsia="楷体_GB2312" w:hint="eastAsia"/>
                <w:color w:val="000000"/>
              </w:rPr>
            </w:pPr>
          </w:p>
          <w:p w14:paraId="1ABBD7CE" w14:textId="77777777" w:rsidR="00017959" w:rsidRDefault="00000000">
            <w:pPr>
              <w:pStyle w:val="2"/>
              <w:spacing w:before="240" w:line="300" w:lineRule="auto"/>
              <w:ind w:firstLineChars="0" w:firstLine="0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是否同意参加预审：□同意</w:t>
            </w:r>
            <w:r>
              <w:rPr>
                <w:rFonts w:eastAsia="楷体_GB2312" w:hint="eastAsia"/>
                <w:color w:val="000000"/>
              </w:rPr>
              <w:t xml:space="preserve"> </w:t>
            </w:r>
            <w:r>
              <w:rPr>
                <w:rFonts w:eastAsia="楷体_GB2312"/>
                <w:color w:val="000000"/>
              </w:rPr>
              <w:t xml:space="preserve"> </w:t>
            </w:r>
            <w:r>
              <w:rPr>
                <w:rFonts w:eastAsia="楷体_GB2312" w:hint="eastAsia"/>
                <w:color w:val="000000"/>
              </w:rPr>
              <w:t xml:space="preserve"> </w:t>
            </w:r>
            <w:r>
              <w:rPr>
                <w:rFonts w:eastAsia="楷体_GB2312" w:hint="eastAsia"/>
                <w:color w:val="000000"/>
              </w:rPr>
              <w:t>□不同意</w:t>
            </w:r>
          </w:p>
          <w:p w14:paraId="4618DC23" w14:textId="77777777" w:rsidR="00017959" w:rsidRDefault="00000000">
            <w:pPr>
              <w:pStyle w:val="2"/>
              <w:tabs>
                <w:tab w:val="left" w:pos="1092"/>
              </w:tabs>
              <w:spacing w:before="120" w:line="300" w:lineRule="auto"/>
              <w:ind w:firstLineChars="0" w:firstLine="0"/>
              <w:jc w:val="right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 xml:space="preserve"> </w:t>
            </w:r>
            <w:r>
              <w:rPr>
                <w:rFonts w:eastAsia="楷体_GB2312"/>
                <w:color w:val="000000"/>
              </w:rPr>
              <w:t>导师</w:t>
            </w:r>
            <w:r>
              <w:rPr>
                <w:rFonts w:eastAsia="楷体_GB2312" w:hint="eastAsia"/>
                <w:color w:val="000000"/>
              </w:rPr>
              <w:t>（签名）：</w:t>
            </w:r>
            <w:r>
              <w:rPr>
                <w:rFonts w:eastAsia="楷体_GB2312" w:hint="eastAsia"/>
                <w:color w:val="000000"/>
              </w:rPr>
              <w:t xml:space="preserve">    </w:t>
            </w:r>
            <w:r>
              <w:rPr>
                <w:rFonts w:eastAsia="楷体_GB2312"/>
                <w:color w:val="000000"/>
              </w:rPr>
              <w:t xml:space="preserve"> </w:t>
            </w:r>
            <w:r>
              <w:rPr>
                <w:rFonts w:eastAsia="楷体_GB2312" w:hint="eastAsia"/>
                <w:color w:val="000000"/>
              </w:rPr>
              <w:t xml:space="preserve">         </w:t>
            </w:r>
            <w:r>
              <w:rPr>
                <w:rFonts w:eastAsia="楷体_GB2312"/>
                <w:color w:val="000000"/>
              </w:rPr>
              <w:t xml:space="preserve">     </w:t>
            </w:r>
            <w:r>
              <w:rPr>
                <w:rFonts w:eastAsia="楷体_GB2312" w:hint="eastAsia"/>
                <w:color w:val="000000"/>
              </w:rPr>
              <w:t xml:space="preserve"> </w:t>
            </w:r>
            <w:r>
              <w:rPr>
                <w:rFonts w:eastAsia="楷体_GB2312"/>
                <w:color w:val="000000"/>
              </w:rPr>
              <w:t xml:space="preserve"> </w:t>
            </w:r>
            <w:r>
              <w:rPr>
                <w:rFonts w:eastAsia="楷体_GB2312" w:hint="eastAsia"/>
                <w:color w:val="000000"/>
              </w:rPr>
              <w:t>年</w:t>
            </w:r>
            <w:r>
              <w:rPr>
                <w:rFonts w:eastAsia="楷体_GB2312" w:hint="eastAsia"/>
                <w:color w:val="000000"/>
              </w:rPr>
              <w:t xml:space="preserve">   </w:t>
            </w:r>
            <w:r>
              <w:rPr>
                <w:rFonts w:eastAsia="楷体_GB2312" w:hint="eastAsia"/>
                <w:color w:val="000000"/>
              </w:rPr>
              <w:t>月</w:t>
            </w:r>
            <w:r>
              <w:rPr>
                <w:rFonts w:eastAsia="楷体_GB2312" w:hint="eastAsia"/>
                <w:color w:val="000000"/>
              </w:rPr>
              <w:t xml:space="preserve">   </w:t>
            </w:r>
            <w:r>
              <w:rPr>
                <w:rFonts w:eastAsia="楷体_GB2312" w:hint="eastAsia"/>
                <w:color w:val="000000"/>
              </w:rPr>
              <w:t>日</w:t>
            </w:r>
          </w:p>
        </w:tc>
      </w:tr>
    </w:tbl>
    <w:p w14:paraId="224D2F54" w14:textId="77777777" w:rsidR="00017959" w:rsidRDefault="00000000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注：请在</w:t>
      </w:r>
      <w:r>
        <w:rPr>
          <w:rFonts w:ascii="仿宋" w:eastAsia="仿宋" w:hAnsi="仿宋" w:hint="eastAsia"/>
          <w:b/>
          <w:color w:val="000000"/>
        </w:rPr>
        <w:t>□</w:t>
      </w:r>
      <w:r>
        <w:rPr>
          <w:rFonts w:ascii="仿宋" w:eastAsia="仿宋" w:hAnsi="仿宋" w:hint="eastAsia"/>
          <w:color w:val="000000"/>
        </w:rPr>
        <w:t>内打“√”。</w:t>
      </w:r>
    </w:p>
    <w:sectPr w:rsidR="00017959">
      <w:headerReference w:type="default" r:id="rId6"/>
      <w:footerReference w:type="default" r:id="rId7"/>
      <w:pgSz w:w="11906" w:h="16838"/>
      <w:pgMar w:top="793" w:right="1134" w:bottom="725" w:left="1134" w:header="1134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867F0" w14:textId="77777777" w:rsidR="007216E2" w:rsidRDefault="007216E2">
      <w:r>
        <w:separator/>
      </w:r>
    </w:p>
  </w:endnote>
  <w:endnote w:type="continuationSeparator" w:id="0">
    <w:p w14:paraId="66907979" w14:textId="77777777" w:rsidR="007216E2" w:rsidRDefault="00721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B423B" w14:textId="77777777" w:rsidR="00017959" w:rsidRDefault="0001795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E10CE" w14:textId="77777777" w:rsidR="007216E2" w:rsidRDefault="007216E2">
      <w:r>
        <w:separator/>
      </w:r>
    </w:p>
  </w:footnote>
  <w:footnote w:type="continuationSeparator" w:id="0">
    <w:p w14:paraId="44E8BCA7" w14:textId="77777777" w:rsidR="007216E2" w:rsidRDefault="007216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1234E" w14:textId="77777777" w:rsidR="00017959" w:rsidRDefault="00017959">
    <w:pPr>
      <w:pStyle w:val="a6"/>
      <w:pBdr>
        <w:bottom w:val="none" w:sz="0" w:space="0" w:color="auto"/>
      </w:pBdr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C27"/>
    <w:rsid w:val="00017959"/>
    <w:rsid w:val="0035323E"/>
    <w:rsid w:val="00530DB3"/>
    <w:rsid w:val="00557A0B"/>
    <w:rsid w:val="005D1DEE"/>
    <w:rsid w:val="005D23E4"/>
    <w:rsid w:val="00682AC0"/>
    <w:rsid w:val="007216E2"/>
    <w:rsid w:val="009539DA"/>
    <w:rsid w:val="00AD5C27"/>
    <w:rsid w:val="00DC5A1D"/>
    <w:rsid w:val="00E31CF4"/>
    <w:rsid w:val="00ED529F"/>
    <w:rsid w:val="26E02B69"/>
    <w:rsid w:val="2C2117B5"/>
    <w:rsid w:val="3A593DF9"/>
    <w:rsid w:val="494B554F"/>
    <w:rsid w:val="55AA0578"/>
    <w:rsid w:val="6670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9030F"/>
  <w15:docId w15:val="{9DB001AD-44B9-754D-BFC5-1A72F7A21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qFormat/>
    <w:pPr>
      <w:ind w:firstLineChars="200" w:firstLine="420"/>
    </w:pPr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</w:style>
  <w:style w:type="character" w:customStyle="1" w:styleId="a4">
    <w:name w:val="批注框文本 字符"/>
    <w:link w:val="a3"/>
    <w:qFormat/>
    <w:rPr>
      <w:kern w:val="2"/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7">
    <w:name w:val="页眉 字符"/>
    <w:link w:val="a6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143</Words>
  <Characters>817</Characters>
  <Application>Microsoft Office Word</Application>
  <DocSecurity>0</DocSecurity>
  <Lines>6</Lines>
  <Paragraphs>1</Paragraphs>
  <ScaleCrop>false</ScaleCrop>
  <Company>gs</Company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复旦大学博士研究生学位论文预审（预答辩）</dc:title>
  <dc:creator>chenjp</dc:creator>
  <cp:lastModifiedBy>宝铭 龚</cp:lastModifiedBy>
  <cp:revision>14</cp:revision>
  <cp:lastPrinted>2025-05-22T06:11:00Z</cp:lastPrinted>
  <dcterms:created xsi:type="dcterms:W3CDTF">2020-02-22T02:23:00Z</dcterms:created>
  <dcterms:modified xsi:type="dcterms:W3CDTF">2026-03-04T01:32:00Z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eyJoZGlkIjoiZWY4Y2M2ODdjMzJmNTMwYTZlNzcwNjFiYzgyYzI3MzQiLCJ1c2VySWQiOiIzOTU1NTI2ODIifQ==</vt:lpwstr>
  </property>
  <property fmtid="{D5CDD505-2E9C-101B-9397-08002B2CF9AE}" pid="3" name="KSOProductBuildVer">
    <vt:lpwstr>2052-12.1.0.21915</vt:lpwstr>
  </property>
  <property fmtid="{D5CDD505-2E9C-101B-9397-08002B2CF9AE}" pid="4" name="ICV">
    <vt:lpwstr>84E8B2972544467AA85F5E513CB9EFAA_13</vt:lpwstr>
  </property>
</Properties>
</file>