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执行调度（Run Sheet）— 简洁模板</w:t>
      </w:r>
    </w:p>
    <w:p>
      <w:pPr>
        <w:pStyle w:val="Heading1"/>
      </w:pPr>
      <w:r>
        <w:t>用途与原则</w:t>
      </w:r>
    </w:p>
    <w:p>
      <w:r>
        <w:t>用途：把某个 Run 的一次具体执行落到可操作清单（当天/本周）。</w:t>
      </w:r>
    </w:p>
    <w:p>
      <w:r>
        <w:t>原则：</w:t>
      </w:r>
    </w:p>
    <w:p>
      <w:r>
        <w:t>1) 只关心本次执行（不承载裁决逻辑）。</w:t>
      </w:r>
    </w:p>
    <w:p>
      <w:r>
        <w:t>2) 可勾选/可复盘：每一步有完成判据与产出。</w:t>
      </w:r>
    </w:p>
    <w:p>
      <w:r>
        <w:t>3) 轻量：便于复制与迭代。</w:t>
      </w:r>
    </w:p>
    <w:p/>
    <w:p>
      <w:pPr>
        <w:pStyle w:val="Heading1"/>
      </w:pPr>
      <w:r>
        <w:t>基本信息</w:t>
      </w:r>
    </w:p>
    <w:p>
      <w:r>
        <w:t>Run ID：</w:t>
      </w:r>
    </w:p>
    <w:p>
      <w:r>
        <w:t>执行批次/日期：</w:t>
      </w:r>
    </w:p>
    <w:p>
      <w:r>
        <w:t>操作者：</w:t>
      </w:r>
    </w:p>
    <w:p>
      <w:r>
        <w:t>样本/材料批次：</w:t>
      </w:r>
    </w:p>
    <w:p>
      <w:r>
        <w:t>关联 Pipeline Run（链接/路径）：</w:t>
      </w:r>
    </w:p>
    <w:p/>
    <w:p>
      <w:pPr>
        <w:pStyle w:val="Heading1"/>
      </w:pPr>
      <w:r>
        <w:t>目标与产出</w:t>
      </w:r>
    </w:p>
    <w:p>
      <w:r>
        <w:t>本次目标：</w:t>
      </w:r>
    </w:p>
    <w:p>
      <w:r>
        <w:t>预期产出（文件/图/表）：</w:t>
      </w:r>
    </w:p>
    <w:p>
      <w:r>
        <w:t>完成判据：</w:t>
      </w:r>
    </w:p>
    <w:p/>
    <w:p>
      <w:pPr>
        <w:pStyle w:val="Heading1"/>
      </w:pPr>
      <w:r>
        <w:t>时间线与步骤（复制此表格行）</w:t>
      </w:r>
    </w:p>
    <w:p>
      <w:r>
        <w:t>步骤ID | 描述 | 输入 | 输出 | QC/判据 | 预计用时 | 状态</w:t>
      </w:r>
    </w:p>
    <w:p>
      <w:r>
        <w:t xml:space="preserve">S1 | | | | | | </w:t>
      </w:r>
    </w:p>
    <w:p>
      <w:r>
        <w:t xml:space="preserve">S2 | | | | | | </w:t>
      </w:r>
    </w:p>
    <w:p/>
    <w:p>
      <w:pPr>
        <w:pStyle w:val="Heading1"/>
      </w:pPr>
      <w:r>
        <w:t>样本与分组</w:t>
      </w:r>
    </w:p>
    <w:p>
      <w:r>
        <w:t>样本清单：</w:t>
      </w:r>
    </w:p>
    <w:p>
      <w:r>
        <w:t>分组与随机化：</w:t>
      </w:r>
    </w:p>
    <w:p>
      <w:r>
        <w:t>盲法/顺序控制（如有）：</w:t>
      </w:r>
    </w:p>
    <w:p/>
    <w:p>
      <w:pPr>
        <w:pStyle w:val="Heading1"/>
      </w:pPr>
      <w:r>
        <w:t>关键参数与记录</w:t>
      </w:r>
    </w:p>
    <w:p>
      <w:r>
        <w:t>关键试剂/抗体/引物：</w:t>
      </w:r>
    </w:p>
    <w:p>
      <w:r>
        <w:t>关键参数（时间/剂量/温度）：</w:t>
      </w:r>
    </w:p>
    <w:p>
      <w:r>
        <w:t>偏差与备注：</w:t>
      </w:r>
    </w:p>
    <w:p/>
    <w:p>
      <w:pPr>
        <w:pStyle w:val="Heading1"/>
      </w:pPr>
      <w:r>
        <w:t>QC 与问题记录</w:t>
      </w:r>
    </w:p>
    <w:p>
      <w:r>
        <w:t>QC 通过/失败：</w:t>
      </w:r>
    </w:p>
    <w:p>
      <w:r>
        <w:t>问题与处理：</w:t>
      </w:r>
    </w:p>
    <w:p/>
    <w:p>
      <w:pPr>
        <w:pStyle w:val="Heading1"/>
      </w:pPr>
      <w:r>
        <w:t>签名与归档</w:t>
      </w:r>
    </w:p>
    <w:p>
      <w:r>
        <w:t>执行人：</w:t>
      </w:r>
    </w:p>
    <w:p>
      <w:r>
        <w:t>复核人：</w:t>
      </w:r>
    </w:p>
    <w:p>
      <w:r>
        <w:t>数据归档路径：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