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Abstract</w:t>
      </w:r>
    </w:p>
    <w:p>
      <w:r>
        <w:rPr>
          <w:sz w:val="22"/>
        </w:rPr>
        <w:t>Inflammasome activation does not necessarily translate into pyroptotic output and proportional IL-1β release. Emerging evidence suggests that mitochondrial membrane context, particularly cardiolipin status, influences inflammasome output, yet the upstream mechanisms remain unclear. We asked whether EphB1 loss alters cardiolipin-linked mitochondrial membrane context to raise the threshold for gasdermin D execution and thereby attenuate inflammasome-induced lytic output. Using primary murine peritoneal macrophages, we combined genetic and pharmacological perturbations with functional mapping and integrative multi-omics to test links between upstream signaling, membrane context, and terminal output. EphB1 deficiency consistently reduced IL-1β release and cell lysis across multiple inflammasome stimuli while leaving transcriptional priming, ASC assembly, and caspase-1 activation intact, localizing the defect to the execution stage. This phenotype was accompanied by reduced mitochondrial enrichment of GSDMD-NT, coordinated decreases in cardiolipin abundance, and phenocopying by pharmacological disruption of cardiolipin state. These findings support a cardiolipin-mediated model in which EphB1-dependent signaling remodels cardiolipin to shift the threshold for GSDMD-dependent execution, helping explain how inflammasome activation can be uncoupled from output intensity.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