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rPr>
          <w:sz w:val="22"/>
        </w:rPr>
        <w:t>Fig. 1. Ephb1 deficiency reduces inflammasome-triggered pyroptosis and IL-1β release</w:t>
      </w:r>
    </w:p>
    <w:p>
      <w:r>
        <w:drawing>
          <wp:inline xmlns:a="http://schemas.openxmlformats.org/drawingml/2006/main" xmlns:pic="http://schemas.openxmlformats.org/drawingml/2006/picture">
            <wp:extent cx="5486400" cy="5699562"/>
            <wp:docPr id="1" name="Picture 1"/>
            <wp:cNvGraphicFramePr>
              <a:graphicFrameLocks noChangeAspect="1"/>
            </wp:cNvGraphicFramePr>
            <a:graphic>
              <a:graphicData uri="http://schemas.openxmlformats.org/drawingml/2006/picture">
                <pic:pic>
                  <pic:nvPicPr>
                    <pic:cNvPr id="0" name="figure_1_画板 1.png"/>
                    <pic:cNvPicPr/>
                  </pic:nvPicPr>
                  <pic:blipFill>
                    <a:blip r:embed="rId9"/>
                    <a:stretch>
                      <a:fillRect/>
                    </a:stretch>
                  </pic:blipFill>
                  <pic:spPr>
                    <a:xfrm>
                      <a:off x="0" y="0"/>
                      <a:ext cx="5486400" cy="5699562"/>
                    </a:xfrm>
                    <a:prstGeom prst="rect"/>
                  </pic:spPr>
                </pic:pic>
              </a:graphicData>
            </a:graphic>
          </wp:inline>
        </w:drawing>
      </w:r>
    </w:p>
    <w:p>
      <w:pPr/>
      <w:r>
        <w:rPr>
          <w:sz w:val="22"/>
        </w:rPr>
        <w:t>(a) Schematic overview of the genetic screening strategy used to identify regulators of inflammasome output.</w:t>
        <w:br/>
        <w:br/>
        <w:t>(b) Normalized IL-1β release in culture supernatants across PB genetic backgrounds following nigericin-induced inflammasome activation, comparing WT and gene-deficient cells within each background.</w:t>
        <w:br/>
        <w:br/>
        <w:t>(c) IL-1β release in culture supernatants from primary peritoneal macrophages following activation of distinct inflammasome pathways with the indicated secondary stimuli, comparing WT and EphB1-deficient cells.</w:t>
        <w:br/>
        <w:br/>
        <w:t>(d) LDH release in culture supernatants from primary peritoneal macrophages following activation of the NLRP3, NLRC4, or AIM2 inflammasome under the indicated conditions, comparing WT and EphB1-deficient cells.</w:t>
        <w:br/>
        <w:br/>
        <w:t>Panel (a) is a schematic and does not contain quantitative data. Unless otherwise indicated, data are presented as mean ± SD, and n denotes biologically independent samples. Statistical significance was assessed using two-tailed unpaired t-tests, except that panel (b) was analyzed by two-tailed Welch’s t-test within each genetic background. Panels (c) and (d) were reproduced in ≥3 independent experiments. *P &lt; 0.05, **P &lt; 0.01, ***P &lt; 0.001; ns, not significant.</w:t>
      </w:r>
    </w:p>
    <w:p>
      <w:r>
        <w:br w:type="page"/>
      </w:r>
    </w:p>
    <w:p>
      <w:pPr>
        <w:pStyle w:val="Caption"/>
      </w:pPr>
      <w:r>
        <w:rPr>
          <w:sz w:val="22"/>
        </w:rPr>
        <w:t>Fig. 2. Ephb1 deficiency reduces GSDMD-dependent pyroptotic execution</w:t>
      </w:r>
    </w:p>
    <w:p>
      <w:r>
        <w:drawing>
          <wp:inline xmlns:a="http://schemas.openxmlformats.org/drawingml/2006/main" xmlns:pic="http://schemas.openxmlformats.org/drawingml/2006/picture">
            <wp:extent cx="4551678" cy="6419088"/>
            <wp:docPr id="2" name="Picture 2"/>
            <wp:cNvGraphicFramePr>
              <a:graphicFrameLocks noChangeAspect="1"/>
            </wp:cNvGraphicFramePr>
            <a:graphic>
              <a:graphicData uri="http://schemas.openxmlformats.org/drawingml/2006/picture">
                <pic:pic>
                  <pic:nvPicPr>
                    <pic:cNvPr id="0" name="figure_2_画板 1.png"/>
                    <pic:cNvPicPr/>
                  </pic:nvPicPr>
                  <pic:blipFill>
                    <a:blip r:embed="rId10"/>
                    <a:stretch>
                      <a:fillRect/>
                    </a:stretch>
                  </pic:blipFill>
                  <pic:spPr>
                    <a:xfrm>
                      <a:off x="0" y="0"/>
                      <a:ext cx="4551678" cy="6419088"/>
                    </a:xfrm>
                    <a:prstGeom prst="rect"/>
                  </pic:spPr>
                </pic:pic>
              </a:graphicData>
            </a:graphic>
          </wp:inline>
        </w:drawing>
      </w:r>
    </w:p>
    <w:p>
      <w:pPr/>
      <w:r>
        <w:rPr>
          <w:sz w:val="22"/>
        </w:rPr>
        <w:t>(a,b) qPCR analysis of transcriptional priming markers in primary peritoneal macrophages following LPS stimulation, comparing WT and EphB1-deficient cells.</w:t>
        <w:br/>
        <w:br/>
        <w:t>(c) TNF-α secretion in supernatants from primary peritoneal macrophages following LPS stimulation, comparing WT and EphB1-deficient cells.</w:t>
        <w:br/>
        <w:br/>
        <w:t>(d) IL-1β secretion in supernatants from primary peritoneal macrophages following LPS and nigericin stimulation, comparing WT and EphB1-deficient cells.</w:t>
        <w:br/>
        <w:br/>
        <w:t>(e) ASC oligomerization in soluble and insoluble fractions from primary peritoneal macrophages following LPS priming and NLRP3 activation, comparing WT and EphB1-deficient cells.</w:t>
        <w:br/>
        <w:br/>
        <w:t>(f) Pro-caspase-1 and cleaved caspase-1 p20 in total lysate and supernatant fractions from primary peritoneal macrophages following LPS priming and NLRP3 activation, comparing WT and EphB1-deficient cells.</w:t>
        <w:br/>
        <w:br/>
        <w:t>(g) GSDMD and IL-1β processing in total lysate and supernatant fractions from primary peritoneal macrophages following LPS priming and NLRP3 activation, comparing WT and EphB1-deficient cells.</w:t>
        <w:br/>
        <w:br/>
        <w:t>Data are presented as mean ± SD unless otherwise indicate. n denotes biologically independent samples. For panels (a,b,e–g), n ≥ 3 per group, and results were reproduced in ≥3 independent experiments; for panel (d), n = 3 biological replicates per group, and each point represents one biological replicate. Statistical significance was assessed using two-tailed unpaired t-tests. In panels (a,b), transcript levels were normalized to GAPDH and expressed relative to unstimulated controls; in panel (c), ELISA signals were background-subtracted and normalized to cell number; and in panels (e–g), lysate and supernatant or soluble and insoluble fractions were analyzed in parallel. *P &lt; 0.05, **P &lt; 0.01, ***P &lt; 0.001; ns, not significant.</w:t>
      </w:r>
    </w:p>
    <w:p>
      <w:r>
        <w:br w:type="page"/>
      </w:r>
    </w:p>
    <w:p>
      <w:pPr>
        <w:pStyle w:val="Caption"/>
      </w:pPr>
      <w:r>
        <w:rPr>
          <w:sz w:val="22"/>
        </w:rPr>
        <w:t>Fig. 3. Ephb1 deficiency reduces mitochondrial enrichment of GSDMD-NT</w:t>
      </w:r>
    </w:p>
    <w:p>
      <w:r>
        <w:drawing>
          <wp:inline xmlns:a="http://schemas.openxmlformats.org/drawingml/2006/main" xmlns:pic="http://schemas.openxmlformats.org/drawingml/2006/picture">
            <wp:extent cx="4145181" cy="6419088"/>
            <wp:docPr id="3" name="Picture 3"/>
            <wp:cNvGraphicFramePr>
              <a:graphicFrameLocks noChangeAspect="1"/>
            </wp:cNvGraphicFramePr>
            <a:graphic>
              <a:graphicData uri="http://schemas.openxmlformats.org/drawingml/2006/picture">
                <pic:pic>
                  <pic:nvPicPr>
                    <pic:cNvPr id="0" name="figure_3_画板 1.png"/>
                    <pic:cNvPicPr/>
                  </pic:nvPicPr>
                  <pic:blipFill>
                    <a:blip r:embed="rId11"/>
                    <a:stretch>
                      <a:fillRect/>
                    </a:stretch>
                  </pic:blipFill>
                  <pic:spPr>
                    <a:xfrm>
                      <a:off x="0" y="0"/>
                      <a:ext cx="4145181" cy="6419088"/>
                    </a:xfrm>
                    <a:prstGeom prst="rect"/>
                  </pic:spPr>
                </pic:pic>
              </a:graphicData>
            </a:graphic>
          </wp:inline>
        </w:drawing>
      </w:r>
    </w:p>
    <w:p>
      <w:pPr/>
      <w:r>
        <w:rPr>
          <w:sz w:val="22"/>
        </w:rPr>
        <w:t>(a,b,c,d,e,f,g,h) Time-resolved measurements of cytosolic ROS, mitochondrial ROS, and mitochondrial membrane potential in primary peritoneal macrophages during NLRP3 inflammasome activation or under unstimulated baseline conditions, comparing WT and EphB1-deficient cells.</w:t>
        <w:br/>
        <w:br/>
        <w:t>(i,j) Total and cytosolic mtDNA abundance measured by subcellular fractionation followed by qPCR in primary peritoneal macrophages during NLRP3 inflammasome activation, comparing WT and EphB1-deficient cells.</w:t>
        <w:br/>
        <w:br/>
        <w:t>(k) GSDMD-NT abundance in mitochondrial fractions and total lysates from primary peritoneal macrophages at the indicated early time points during NLRP3 inflammasome activation, comparing WT and EphB1-deficient cells. Mitochondrial abundance controls were assessed in parallel.</w:t>
        <w:br/>
        <w:br/>
        <w:t>Data are presented as mean ± SD unless otherwise indicated. For panels (a–h), n ≥ 3 independent experiments, and fluorescence signals were normalized to the pre-stimulation baseline; statistical significance was assessed using two-tailed unpaired t-tests on area-under-the-curve or endpoint values, as indicated. Panels (g,h) show unstimulated baseline TMRM measurements. For panels (i,j), n ≥ 2 independent experiments per group, reproduced in ≥3 independent batches; cytosolic mtDNA was quantified by subcellular fractionation followed by qPCR and expressed relative to WT. For panel (k), n ≥ 3 biologically independent experiments per genotype, reproduced in ≥3 independent batches; mitochondrial and total GSDMD-NT abundance were assessed by immunoblotting and quantified by densitometry. Statistical significance was assessed using two-tailed unpaired t-tests. *P &lt; 0.05, **P &lt; 0.01, ***P &lt; 0.001; ns, not significant.</w:t>
      </w:r>
    </w:p>
    <w:p>
      <w:r>
        <w:br w:type="page"/>
      </w:r>
    </w:p>
    <w:p>
      <w:pPr>
        <w:pStyle w:val="Caption"/>
      </w:pPr>
      <w:r>
        <w:rPr>
          <w:sz w:val="22"/>
        </w:rPr>
        <w:t>Fig. 4. Ephb1 deficiency reduces cardiolipin abundance</w:t>
      </w:r>
    </w:p>
    <w:p>
      <w:r>
        <w:drawing>
          <wp:inline xmlns:a="http://schemas.openxmlformats.org/drawingml/2006/main" xmlns:pic="http://schemas.openxmlformats.org/drawingml/2006/picture">
            <wp:extent cx="4644601" cy="6419088"/>
            <wp:docPr id="4" name="Picture 4"/>
            <wp:cNvGraphicFramePr>
              <a:graphicFrameLocks noChangeAspect="1"/>
            </wp:cNvGraphicFramePr>
            <a:graphic>
              <a:graphicData uri="http://schemas.openxmlformats.org/drawingml/2006/picture">
                <pic:pic>
                  <pic:nvPicPr>
                    <pic:cNvPr id="0" name="figure_4_画板 1.png"/>
                    <pic:cNvPicPr/>
                  </pic:nvPicPr>
                  <pic:blipFill>
                    <a:blip r:embed="rId12"/>
                    <a:stretch>
                      <a:fillRect/>
                    </a:stretch>
                  </pic:blipFill>
                  <pic:spPr>
                    <a:xfrm>
                      <a:off x="0" y="0"/>
                      <a:ext cx="4644601" cy="6419088"/>
                    </a:xfrm>
                    <a:prstGeom prst="rect"/>
                  </pic:spPr>
                </pic:pic>
              </a:graphicData>
            </a:graphic>
          </wp:inline>
        </w:drawing>
      </w:r>
    </w:p>
    <w:p>
      <w:pPr/>
      <w:r>
        <w:rPr>
          <w:sz w:val="22"/>
        </w:rPr>
        <w:t>(a,b) NAO-associated fluorescence measured by imaging analysis in primary peritoneal macrophages under unstimulated conditions, comparing WT and EphB1-deficient cells.</w:t>
        <w:br/>
        <w:br/>
        <w:t>(c,d) Total cardiolipin abundance measured by LC–MS lipidomics in resting primary peritoneal macrophages, comparing WT and EphB1-deficient cells.</w:t>
        <w:br/>
        <w:br/>
        <w:t>(e,f) NAO-associated fluorescence measured by fixed-exposure imaging in primary peritoneal macrophages following alexidine dihydrochloride (AD) treatment, comparing WT and EphB1-deficient cells.</w:t>
        <w:br/>
        <w:br/>
        <w:t>(g) IL-1β release in culture supernatants from primary peritoneal macrophages following AD pretreatment, LPS priming, and nigericin stimulation, comparing WT and EphB1-deficient cells across the indicated doses and treatment durations.</w:t>
        <w:br/>
        <w:br/>
        <w:t>Data are presented as mean ± SD unless otherwise indicated, and n denotes biologically independent samples or experiments. For panels (a,b,e,f), n ≥ 3 per group, with results reproduced in ≥3 independent experiments; NAO fluorescence was quantified under matched acquisition settings, and statistical significance was assessed using two-tailed unpaired t-tests. For panels (c,d), n ≥ 3 biologically independent samples per group, reproduced in ≥2 independent batches; total cardiolipin abundance were quantified by LC–MS lipidomics. For panel (g), n ≥ 3 independent experiments per group, with results reproduced in ≥3 independent experiments; statistical significance was assessed using two-tailed unpaired t-tests. *P &lt; 0.05, **P &lt; 0.01, ***P &lt; 0.001; ns, not significant.</w:t>
      </w:r>
    </w:p>
    <w:p>
      <w:r>
        <w:br w:type="page"/>
      </w:r>
    </w:p>
    <w:p>
      <w:pPr>
        <w:pStyle w:val="Caption"/>
      </w:pPr>
      <w:r>
        <w:rPr>
          <w:sz w:val="22"/>
        </w:rPr>
        <w:t>Fig. 5. Membrane context is the dominant cardiolipin-related axis perturbed by Ephb1 deficiency</w:t>
      </w:r>
    </w:p>
    <w:p>
      <w:r>
        <w:drawing>
          <wp:inline xmlns:a="http://schemas.openxmlformats.org/drawingml/2006/main" xmlns:pic="http://schemas.openxmlformats.org/drawingml/2006/picture">
            <wp:extent cx="5486400" cy="6049758"/>
            <wp:docPr id="5" name="Picture 5"/>
            <wp:cNvGraphicFramePr>
              <a:graphicFrameLocks noChangeAspect="1"/>
            </wp:cNvGraphicFramePr>
            <a:graphic>
              <a:graphicData uri="http://schemas.openxmlformats.org/drawingml/2006/picture">
                <pic:pic>
                  <pic:nvPicPr>
                    <pic:cNvPr id="0" name="figure_5_画板 1.png"/>
                    <pic:cNvPicPr/>
                  </pic:nvPicPr>
                  <pic:blipFill>
                    <a:blip r:embed="rId13"/>
                    <a:stretch>
                      <a:fillRect/>
                    </a:stretch>
                  </pic:blipFill>
                  <pic:spPr>
                    <a:xfrm>
                      <a:off x="0" y="0"/>
                      <a:ext cx="5486400" cy="6049758"/>
                    </a:xfrm>
                    <a:prstGeom prst="rect"/>
                  </pic:spPr>
                </pic:pic>
              </a:graphicData>
            </a:graphic>
          </wp:inline>
        </w:drawing>
      </w:r>
    </w:p>
    <w:p>
      <w:pPr/>
      <w:r>
        <w:rPr>
          <w:sz w:val="22"/>
        </w:rPr>
        <w:t>(a) Conceptual diagram defining six cardiolipin-related mechanistic axes within an ER–mitochondria-centered framework for interpretation of transcriptomic and lipidomic changes.</w:t>
        <w:br/>
        <w:br/>
        <w:t>(b) Curated reference table assigning representative lipid readouts and key genes to the six cardiolipin-related mechanistic axes, with predefined directionality conventions and within-axis weights for axis-level scoring.</w:t>
        <w:br/>
        <w:br/>
        <w:t>(c) Integrated workflow summarizing batch-aware processing of RNA-seq, untargeted lipidomics, and targeted cardiolipin datasets into mechanistic axis scores and cardiolipin-related indicators for downstream multi-omics integration.</w:t>
        <w:br/>
        <w:br/>
        <w:t>(d) Batch-level effect_z matrix from RNA-seq and lipidomics datasets showing the direction and magnitude of EphB1 deficiency-associated changes across six mechanistic axes.</w:t>
        <w:br/>
        <w:br/>
        <w:t>(e) Integrated multi-omics Z scores for six predefined mechanistic axes derived from batch-level RNA-seq and lipidomics axis scores by Stouffer meta-analysis.</w:t>
        <w:br/>
        <w:br/>
        <w:t>(f) Cross-batch regression relating mechanistic axis combined Z scores to batch-matched differences in total cardiolipin abundance to assess whether axis-level effects predict cardiolipin content across batches.</w:t>
        <w:br/>
        <w:br/>
        <w:t>Panels (a–c) are conceptual or reference panels and do not present quantitative experimental comparisons or significance testing. Panels (d–f) summarize batch-level and integrated multi-omics analyses derived from WT and Ephb1-deficient primary murine peritoneal macrophage datasets. In panel (d), effect_z values represent within-batch directional effect sizes and are interpreted by directional consistency across RNA-seq and lipidomics batches rather than by formal significance testing. In panel (e), batch-level axis scores were combined by Stouffer meta-analysis within and across omics layers; n denotes independent experimental batches (RNA-seq, 3 batches; lipidomics, 3–4 batches), and two-sided P values were derived from combined Z scores. In panel (f), each point represents one independent experimental batch; matched HO–WT contrasts were evaluated by linear regression / correlation analysis, and Pearson r and two-sided P values are reported. Unless otherwise indicated, significance is denoted as *P &lt; 0.05, **P &lt; 0.01, ***P &lt; 0.001; ns, not significant.</w:t>
      </w:r>
    </w:p>
    <w:p>
      <w:r>
        <w:br w:type="page"/>
      </w:r>
    </w:p>
    <w:p>
      <w:pPr>
        <w:pStyle w:val="Caption"/>
      </w:pPr>
      <w:r>
        <w:rPr>
          <w:sz w:val="22"/>
        </w:rPr>
        <w:t>Fig. 6. PI3K–AKT–mTOR signaling correlates with the membrane-context axis</w:t>
      </w:r>
    </w:p>
    <w:p>
      <w:r>
        <w:drawing>
          <wp:inline xmlns:a="http://schemas.openxmlformats.org/drawingml/2006/main" xmlns:pic="http://schemas.openxmlformats.org/drawingml/2006/picture">
            <wp:extent cx="3637763" cy="6419088"/>
            <wp:docPr id="6" name="Picture 6"/>
            <wp:cNvGraphicFramePr>
              <a:graphicFrameLocks noChangeAspect="1"/>
            </wp:cNvGraphicFramePr>
            <a:graphic>
              <a:graphicData uri="http://schemas.openxmlformats.org/drawingml/2006/picture">
                <pic:pic>
                  <pic:nvPicPr>
                    <pic:cNvPr id="0" name="figure_6_画板 1.png"/>
                    <pic:cNvPicPr/>
                  </pic:nvPicPr>
                  <pic:blipFill>
                    <a:blip r:embed="rId14"/>
                    <a:stretch>
                      <a:fillRect/>
                    </a:stretch>
                  </pic:blipFill>
                  <pic:spPr>
                    <a:xfrm>
                      <a:off x="0" y="0"/>
                      <a:ext cx="3637763" cy="6419088"/>
                    </a:xfrm>
                    <a:prstGeom prst="rect"/>
                  </pic:spPr>
                </pic:pic>
              </a:graphicData>
            </a:graphic>
          </wp:inline>
        </w:drawing>
      </w:r>
    </w:p>
    <w:p>
      <w:pPr/>
      <w:r>
        <w:rPr>
          <w:sz w:val="22"/>
        </w:rPr>
        <w:t>(a) Conceptual diagram illustrating an RNA-first X–M–Z framework linking Ephb1 status, downstream signaling module scores, and the membrane-context axis, with independent lipid phenotypes used for directional concordance validation.</w:t>
        <w:br/>
        <w:br/>
        <w:t>(b) Curated reference table defining EphB1 downstream signaling modules and their expected relationships to cardiolipin-related mechanistic axes for pathway-level prioritization.</w:t>
        <w:br/>
        <w:br/>
        <w:t>(c) Pathway-level transcriptional response scores derived from RNA-seq across three independent batches, showing batch-specific z_pathway shifts and cross-batch meta Z effects for curated EphB1 downstream signaling modules.</w:t>
        <w:br/>
        <w:br/>
        <w:t>(d) Cross-batch ranking of Ephb1 downstream signaling modules based on genotype-associated transcriptional shifts and their coupling robustness with the membrane-context axis assessed by within-batch regression and pooled leave-one-out refitting.</w:t>
        <w:br/>
        <w:br/>
        <w:t>(e) Sample-level relationships between membrane-context axis scores and pathway mediator scores across independent RNA-seq batches, showing genotype-dependent clustering patterns for representative prioritized pathways.</w:t>
        <w:br/>
        <w:br/>
        <w:t>Panels (a,b) are conceptual or reference panels and do not present quantitative experimental comparisons or formal significance testing. Panels (c–e) summarize RNA-seq–based analyses from unstimulated WT and Ephb1-deficient primary murine peritoneal macrophages across 3 independent batches. In panel (c), pathway-level transcriptional scores were standardized within batch and integrated across batches as meta Z values to summarize directional consistency and effect magnitude. In panel (d), module prioritization was based on batch-level transcriptional shifts together with within-batch regression and pooled leave-one-out refitting; n denotes independent RNA-seq batches or samples, as specified, and no multiple-comparison correction was applied because the analysis is intended for candidate ranking rather than formal inferential testing. In panel (e), each point represents one RNA-seq sample; quantitative prioritization incorporated transcriptional shifts, correlation, and leave-one-out stability, whereas fitted lines are shown for visualization only. Unless otherwise indicated, significance notation is not applied in this figure because panels (c–e) are intended for pathway ranking, coupling assessment, and structural visualization rather than formal hypothesis testing of a single endpoint.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