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Animals</w:t>
      </w:r>
    </w:p>
    <w:p>
      <w:r>
        <w:t>All experiments were performed using mice on a C57BL/6J genetic background. Ephb1 mutant mice and wild-type littermates were used in this study. Ephb1 mutant mice were obtained from the piggyBac (PB) transposon-based mouse mutant library at the Institute of Developmental Biology and Molecular Medicine, Fudan University. Mice were housed under specific pathogen-free (SPF) conditions with controlled temperature, humidity, and a 12 h light/12 h dark cycle. Animals had ad libitum access to sterilized standard chow and acidified drinking water. Genotypes were confirmed by PCR-based analysis, and mice aged 6-10 weeks were used for experiments. All animal procedures were approved by the Institutional Animal Care and Use Committee of Fudan University and conducted in accordance with relevant guidelines and regulations.</w:t>
      </w:r>
    </w:p>
    <w:p>
      <w:pPr>
        <w:pStyle w:val="Heading1"/>
      </w:pPr>
      <w:r>
        <w:t>Primary peritoneal macrophage isolation</w:t>
      </w:r>
    </w:p>
    <w:p>
      <w:r>
        <w:t>Primary peritoneal macrophages were isolated from 6–10-week-old C57BL/6J wild-type and Ephb1-deficient mice. To elicit macrophage recruitment, mice were intraperitoneally injected with 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before downstream stimulation and assay procedures.</w:t>
      </w:r>
    </w:p>
    <w:p>
      <w:pPr>
        <w:pStyle w:val="Heading1"/>
      </w:pPr>
      <w:r>
        <w:t>Cell culture and inflammasome stimulation</w:t>
      </w:r>
    </w:p>
    <w:p>
      <w:r>
        <w:t>Primary peritoneal macrophages were subjected to defined inflammasome priming and activation protocols, with Ephb1-Fc perturbation applied where indicated. 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1"/>
      </w:pPr>
      <w:r>
        <w:t>Inflammasome assembly assays</w:t>
      </w:r>
    </w:p>
    <w:p>
      <w:r>
        <w:t>Inflammasome assembly was assessed by detecting ASC oligomerization using a chemical crosslinking-based assay. Primary peritoneal macrophages were stimulated to activate the NLRP3 inflammasome under the indicated stimulation conditions.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1"/>
      </w:pPr>
      <w:r>
        <w:t>Inflammasome output and cell death assays</w:t>
      </w:r>
    </w:p>
    <w:p>
      <w:r>
        <w:t>Inflammasome-associated cell death and cytokine release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Levels of secreted cytokines in culture supernatants were measured using mouse TNF-α, IL-6, and IL-1β uncoated ELISA kits. Cytokine concentrations were calculated from standard curves generated using serially diluted recombinant standards. To distinguish inflammasome-associated output from non-pyroptotic cell death, apoptosis control assays were performed separately under matched culture conditions.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the statistical procedures described below.</w:t>
      </w:r>
    </w:p>
    <w:p>
      <w:pPr>
        <w:pStyle w:val="Heading1"/>
      </w:pPr>
      <w:r>
        <w:t>Mitochondrial functional assays</w:t>
      </w:r>
    </w:p>
    <w:p>
      <w: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quantified and compared across experimental conditions to assess changes in cellular ROS, mitochondrial superoxide, and mitochondrial membrane potential.</w:t>
      </w:r>
    </w:p>
    <w:p>
      <w:pPr>
        <w:pStyle w:val="Heading1"/>
      </w:pPr>
      <w:r>
        <w:t>Cardiolipin accessibility and imaging assays</w:t>
      </w:r>
    </w:p>
    <w:p>
      <w:r>
        <w:t>Mitochondrial cardiolipin content was assessed using 10-N-nonyl acridine orange (NAO) staining. NAO was used at low nanomolar concentrations to semi-quantitatively monitor cardiolipin-associated fluorescence signals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compare cardiolipin-associated signals across experimental conditions. In parallel with plate-based NAO quantification, microscopy-based imaging was performed to assess the subcellular distribution of cardiolipin-associated signals. Confocal microscopy of NAO-stained primary macrophages was performed to visualize cardiolipin-associated subcellular signals. Primary peritoneal macrophages were cultured on glass coverslips and subjected to the indicated treatments prior to fixation. Cells were fixed and, where indicated, permeabilized prior to staining. For imaging, cells were stained with NAO to visualize cardiolipin-associated mitochondrial signals, with DAPI counterstaining applied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1"/>
      </w:pPr>
      <w:r>
        <w:t>Mitochondrial isolation and mtDNA release analysis</w:t>
      </w:r>
    </w:p>
    <w:p>
      <w: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the statistical procedures described below.</w:t>
      </w:r>
    </w:p>
    <w:p>
      <w:pPr>
        <w:pStyle w:val="Heading1"/>
      </w:pPr>
      <w:r>
        <w:t>Immunoblot analysis</w:t>
      </w:r>
    </w:p>
    <w:p>
      <w:r>
        <w:t>Protein expression was analyzed by Western blotting.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a loading control. Immunoblot quantification data were obtained from at least three independent experiments and analyzed using the statistical procedures described below.</w:t>
      </w:r>
    </w:p>
    <w:p>
      <w:pPr>
        <w:pStyle w:val="Heading1"/>
      </w:pPr>
      <w:r>
        <w:t>Quantitative PCR analysis</w:t>
      </w:r>
    </w:p>
    <w:p>
      <w: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treated as an independent biological replicate, and data were analyzed using the statistical procedures described below.</w:t>
      </w:r>
    </w:p>
    <w:p>
      <w:pPr>
        <w:pStyle w:val="Heading1"/>
      </w:pPr>
      <w:r>
        <w:t>Lipidomics</w:t>
      </w:r>
    </w:p>
    <w:p>
      <w: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1"/>
      </w:pPr>
      <w:r>
        <w:t>Transcriptomics</w:t>
      </w:r>
    </w:p>
    <w:p>
      <w: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1"/>
      </w:pPr>
      <w:r>
        <w:t>Statistical analysis</w:t>
      </w:r>
    </w:p>
    <w:p>
      <w:r>
        <w:t>Statistical analyses were performed to compare experimental groups and evaluate the significance and consistency of observed effects. Data analysis and visualization were conducted using R and Python.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corresponding figure legends.</w:t>
      </w:r>
    </w:p>
    <w:p>
      <w:pPr>
        <w:pStyle w:val="Heading1"/>
      </w:pPr>
      <w:r>
        <w:t>Data availability and reproducibility</w:t>
      </w:r>
    </w:p>
    <w:p>
      <w: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and analysis parameters were recorded to support reproducibility. Key experimental findings were validated using independent biological replicates across separate experiments. Data supporting the findings of this study are available from the corresponding author upon reasonable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