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proportional IL-1β release and pyroptotic output, yet the upstream mechanisms that constrain terminal execution remain unclear. Increasing evidence implicates mitochondrial membrane context, particularly cardiolipin status, as a potentially important but incompletely understood determinant of inflammasome output.. We asked whether loss of EphB1 remodels cardiolipin-linked mitochondrial membrane context to shift the execution threshold of gasdermin D and thereby attenuate inflammasome-induced lytic output. Using primary murine peritoneal macrophages, we combined genetic perturbation, functional localization of inflammasome signaling, cardiolipin-state perturbation, and integrative multi-omics analyses to test links between upstream signaling, membrane context, and terminal output. EphB1 deficiency consistently reduced IL-1β release and cell lysis across multiple inflammasome stimuli without affecting transcriptional priming, ASC assembly, or caspase-1 activation, localizing the defect to the execution stage. This phenotype was accompanied by reduced mitochondrial enrichment of GSDMD-NT together with coordinated decreases in cardiolipin abundance and accessibility, and was phenocopied by pharmacological perturbation of cardiolipin state. These findings support a membrane-mediated model in which EphB1-dependent signaling remodels cardiolipin-linked membrane context to shift the functional threshold of GSDMD-dependent execution, thereby helping explain how inflammasome activation can be uncoupled from output intensity.</w:t>
      </w:r>
    </w:p>
    <w:p>
      <w:r>
        <w:br w:type="page"/>
      </w:r>
    </w:p>
    <w:p>
      <w:pPr>
        <w:pStyle w:val="Heading1"/>
      </w:pPr>
      <w:r>
        <w:t>Introduction</w:t>
      </w:r>
    </w:p>
    <w:p>
      <w:pPr/>
      <w:r>
        <w:rPr>
          <w:sz w:val="22"/>
        </w:rPr>
        <w:t>Over the past two decades, the global disease landscape has shifted toward chronic inflammation-associated non-communicable diseases (NCDs), making immune an important public-health challenge. Cardiovascular diseases, cancer, chronic respiratory diseases, and diabetes together accounted for approximately 43 million deaths in 2021, representing roughly three quarters of non-pandemic-related deaths. {doi:10.5334/aogh.4649} Severe systemic inflammatory syndromes such as sepsis remain major contributors to global mortality. {doi:10.1016/s0140-6736(19)32989-7} {doi:10.1016/s2214-109x(25)00356-0} At the molecular level, the NLRP3 inflammasome is often viewed as a convergence node for diverse acute and chronic inflammatory pathologies. {doi:10.1038/s41577-019-0165-0} While extensive frameworks and regulatory networks have been developed for NLRP3 priming, assembly, and execution, many therapeutic strategies continue to focus on suppressing activation or upstream steps. {doi:10.1038/s41577-019-0165-0} {doi:10.1038/nrd.2018.97} This therapeutic emphasis raises an important mechanistic question: can inflammatory outputs be constrained without fully suppressing inflammasome activation?</w:t>
      </w:r>
    </w:p>
    <w:p>
      <w:pPr/>
      <w:r>
        <w:rPr>
          <w:sz w:val="22"/>
        </w:rPr>
        <w:t>Pyroptosis can be conceptualized as three connected but differentially regulatable stages—priming, inflammasome assembly/caspase activation, and terminal execution—each of which can shape phenotypic outputs. Priming determines the preparedness of inflammasome components, assembly determines whether inflammasomes form and caspases activate, and execution determines the magnitude and form of inflammatory output. In canonical pathways, inflammatory caspases cleave GSDMD to expose an N-terminal fragment that oligomerizes to form pores, enabling cytokine release and driving osmotic imbalance toward lytic death. {doi:10.1038/nature15514} {doi:10.1038/nature15541} Structural and functional studies suggest that the efficiency of GSDMD-NT pore formation strongly influences whether inflammatory outputs remain controlled or progress toward lytic rupture once a threshold is crossed. {doi:10.1038/nature18629} {doi:10.1073/pnas.1607769113} GSDMD-NT does not insert indiscriminately into all lipid membranes; it preferentially targets negatively charged phospholipids, particularly membranes enriched in cardiolipin (CL). {doi:10.1038/nature18629} {doi:10.1038/nature18590} This lipid dependence suggests that membrane environment may influence the threshold behavior of pyroptotic execution.</w:t>
      </w:r>
    </w:p>
    <w:p>
      <w:pPr/>
      <w:r>
        <w:rPr>
          <w:sz w:val="22"/>
        </w:rPr>
        <w:t>Before the plasma membrane, GSDMD-NT can rapidly damage both inner and outer mitochondrial membranes. {doi:10.1016/j.immuni.2023.10.004} Mitochondria may also feed back to amplify inflammasome signaling, as mitochondrial functional states influence sensitivity to NLRP3 activation cues. {doi:10.1038/s41590-022-01185-3} If pore formation is sensitive to lipid context, mitochondrial membrane lipids with dynamic remodeling capacity become plausible mediators linking upstream signals to execution-stage divergence. Cardiolipin is a signature tetra-acyl phospholipid enriched in the mitochondrial inner membrane and is widely viewed as a structural–functional coupling factor linking membrane architecture to bioenergetic performance. {doi:10.3390/cells8070728} At the molecular level, CL contributes to stabilization and organization of respiratory-chain complexes and supercomplexes. {doi:10.1074/jbc.m308366200} In addition, CL provides a lipid environment that supports the assembly and membrane association of inner-membrane protein complexes, including processes involved in respiratory-chain biogenesis. {doi:10.1242/jcs.240374} CL is not a static background lipid but undergoes regulated changes under stress and immune activation, linking mitochondrial membrane state to inflammatory signaling. {doi:10.1016/j.immuni.2013.08.001} {doi:10.4161/auto.27191} {doi:10.1016/j.celrep.2024.114237} In damage contexts, CL externalization can serve as a quality-control ‘tag’, for example via LC3 binding to trigger mitophagy. {doi:10.4161/auto.27191} CL oxidation has been associated with membrane damage and inflammatory amplification in relevant stress contexts. {doi:10.1016/j.celrep.2024.114237} Rather than treating mitochondrial status as a collection of dispersed signals such as ROS, mtDNA, and membrane potential, CL state may provide a more execution-proximal readout linking mitochondrial conditions to pore-forming efficiency and threshold behavior. This gap motivates the search for an upstream receptor-level mechanism that could link extracellular messages to CL-dependent execution thresholds.</w:t>
      </w:r>
    </w:p>
    <w:p>
      <w:pPr/>
      <w:r>
        <w:rPr>
          <w:sz w:val="22"/>
        </w:rPr>
        <w:t>Current evidence supports a connection between CL dynamics and inflammatory execution. By contrast, an unresolved question lies upstream: which receptor-level signals, through which downstream pathways or mechanistic axes, reshape CL state and thereby alter terminal inflammatory outputs? Because Eph–ephrin signaling translates cell–cell contact into downstream programs controlling adhesion, cytoskeletal organization, and microenvironmental responses, it provides a plausible receptor-level entry point for linking extracellular context to intracellular execution states. Important gaps remain in understanding how EphB1 relates to inflammasome and pyroptotic execution, and whether EphB1-associated mitochondrial effects can be linked to quantifiable membrane-environment readouts such as CL state. Second, Eph family functions are pleiotropic, and even closely related EphB subtypes can show opposing effects across tissues, limiting inference by family membership. These gaps motivate a falsifiable model in which EphB1 influences pyroptotic execution through downstream pathways that reshape CL state.</w:t>
      </w:r>
    </w:p>
    <w:p>
      <w:pPr/>
      <w:r>
        <w:rPr>
          <w:sz w:val="22"/>
        </w:rPr>
        <w:t>The central question is whether an upstream receptor signal can engage downstream pathways that reshape CL state and membrane environment, thereby altering terminal inflammasome execution outputs. However, current evidence remains largely descriptive and lacks a systems-level framework explaining how upstream signals drive integrated changes in CL state. To address this question, we use a discover–localize–validate strategy to test the proposed chain with aligned readouts across each layer. This study is framed around a layered model linking receptor signaling, membrane environment, and execution output, with EphB1 as a candidate upstream entry point and CL state as an integrated mitochondrial readout. Rather than equating phenotypic differences with upstream inflammasome activation strength, the study emphasizes identifying which layer differs and whether execution thresholds and amplitude-limiting behavior can be tuned. Accordingly, the study tests whether changes in CL state are sufficient to explain execution-output divergence without assuming complete molecular resolution of every intermediate step.</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Ephb1 mutant mice were obtained from the piggyBac (PB) transposon-based mouse mutant library at the Institute of Developmental Biology and Molecular Medicine, Fudan University. Mice were housed under specific pathogen-free (SPF) conditions with controlled temperature, humidity, and a 12 h light/12 h dark cycle. Animals had ad libitum access to sterilized standard chow and acidified drinking water. Genotypes were confirmed by PCR-based analysis, and mice aged 6 weeks or older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1–2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before downstream stimulation and assay procedures.</w:t>
      </w:r>
    </w:p>
    <w:p>
      <w:pPr>
        <w:pStyle w:val="Heading2"/>
      </w:pPr>
      <w:r>
        <w:t>Cell culture and inflammasome stimulation</w:t>
      </w:r>
    </w:p>
    <w:p>
      <w:pPr/>
      <w:r>
        <w:rPr>
          <w:sz w:val="22"/>
        </w:rPr>
        <w:t>Primary peritoneal macrophages were subjected to defined inflammasome priming and activation protocols, with Ephb1-Fc perturbation applied where indicated. 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assembly assays</w:t>
      </w:r>
    </w:p>
    <w:p>
      <w:pPr/>
      <w:r>
        <w:rPr>
          <w:sz w:val="22"/>
        </w:rPr>
        <w:t>Inflammasome assembly was assessed by detecting ASC oligomerization using a chemical crosslinking-based assay. Primary peritoneal macrophages were stimulated to activate the NLRP3 inflammasome under the indicated stimulation conditions.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Inflammasome output and cell death assays</w:t>
      </w:r>
    </w:p>
    <w:p>
      <w:pPr/>
      <w:r>
        <w:rPr>
          <w:sz w:val="22"/>
        </w:rPr>
        <w:t>Inflammasome-associated cell death and cytokine release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Levels of secreted cytokines in culture supernatants were measured using mouse TNF-α, IL-6, and IL-1β uncoated ELISA kits. Cytokine concentrations were calculated from standard curves generated using serially diluted recombinant standards. To distinguish inflammasome-associated output from non-pyroptotic cell death, apoptosis control assays were performed separately under matched culture conditions.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the statistical procedures described below.</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quantified and compared across experimental conditions to assess changes in cellular ROS, mitochondrial superoxide, and mitochondrial membrane potential.</w:t>
      </w:r>
    </w:p>
    <w:p>
      <w:pPr>
        <w:pStyle w:val="Heading2"/>
      </w:pPr>
      <w:r>
        <w:t>Cardiolipin accessibility and imaging assays</w:t>
      </w:r>
    </w:p>
    <w:p>
      <w:pPr/>
      <w:r>
        <w:rPr>
          <w:sz w:val="22"/>
        </w:rPr>
        <w:t>Mitochondrial cardiolipin content was assessed using 10-N-nonyl acridine orange (NAO) staining. NAO was used at low nanomolar concentrations to semi-quantitatively monitor cardiolipin-associated fluorescence signals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compare cardiolipin-associated signals across experimental conditions. In parallel with plate-based NAO quantification, microscopy-based imaging was performed to assess the subcellular distribution of cardiolipin-associated signals. Confocal microscopy of NAO-stained primary macrophages was performed to visualize cardiolipin-associated subcellular signals. Primary peritoneal macrophages were cultured on glass coverslips and subjected to the indicated treatments prior to fixation. Cells were fixed and, where indicated, permeabilized prior to staining. For imaging, cells were stained with NAO to visualize cardiolipin-associated mitochondrial signals, with DAPI counterstaining applied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mtDNA release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the statistical procedures described below.</w:t>
      </w:r>
    </w:p>
    <w:p>
      <w:pPr>
        <w:pStyle w:val="Heading2"/>
      </w:pPr>
      <w:r>
        <w:t>Immunoblot analysis</w:t>
      </w:r>
    </w:p>
    <w:p>
      <w:pPr/>
      <w:r>
        <w:rPr>
          <w:sz w:val="22"/>
        </w:rPr>
        <w:t>Protein expression was analyzed by Western blotting.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a loading control. Immunoblot quantification data were obtained from at least three independent experiments and analyzed using the statistical procedures described below.</w:t>
      </w:r>
    </w:p>
    <w:p>
      <w:pPr>
        <w:pStyle w:val="Heading2"/>
      </w:pPr>
      <w:r>
        <w:t>Quantitative PCR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treated as an independent biological replicate, and data were analyzed using the statistical procedures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Transcriptomics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compare experimental groups and evaluate the significance and consistency of observed effects. Data analysis and visualization were conducted using R and Python.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corresponding figure legends.</w:t>
      </w:r>
    </w:p>
    <w:p>
      <w:pPr>
        <w:pStyle w:val="Heading2"/>
      </w:pPr>
      <w:r>
        <w:t>Data availability and reproducibility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and analysis parameters were recorded to support reproducibility. Key experimental findings were validated using independent biological replicates across separate experiments.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w:t>
      </w:r>
    </w:p>
    <w:p>
      <w:pPr/>
      <w:r>
        <w:rPr>
          <w:sz w:val="22"/>
        </w:rPr>
        <w:t>Primary macrophages from multiple PiggyBac (PB) genetic backgrounds were subjected to standardized NLRP3 inflammasome activation, and IL-1β release was used as the functional screening readout (Fig. 1a). Having outlined the genetic-screening strategy, we next sought to identify, a candidate strain to prioritize for mechanistic dissection.</w:t>
      </w:r>
    </w:p>
    <w:p>
      <w:pPr/>
      <w:r>
        <w:rPr>
          <w:sz w:val="22"/>
        </w:rPr>
        <w:t>Across the 10 screened strains, most genetic backgrounds showed little or no genotype-dependent difference in IL-1β release following Nigericin stimulation, whereas only two strains reached statistical significance in within-strain comparisons (Fig. 1b). Notably, the Ephb1-associated strain (081230020-HRB) exhibited a pronounced reduction in IL-1β release in EphB1-deficient macrophages (~41% decrease relative to WT; P≈0.034), representing  the most statistically significant reduction observed in the screen and prioritizing Ephb1 for subsequent mechanistic investigation.</w:t>
      </w:r>
    </w:p>
    <w:p>
      <w:pPr/>
      <w:r>
        <w:rPr>
          <w:sz w:val="22"/>
        </w:rPr>
        <w:t>Having prioritized Ephb1 from the screen, we next asked whether the phenotype generalizes beyond a single inflammasome agonist, thereby arguing against a stimulus-specific artifact. Across all three activation routes, Ephb1-deficient macrophages released significantly less IL-1β than WT controls (Fig. 1c). These data indicate that the diminished IL-1β output in EphB1-deficient macrophages is not restricted to a single receptor pathway, supporting a role for EphB1 at a receptor-downstream step.</w:t>
      </w:r>
    </w:p>
    <w:p>
      <w:pPr/>
      <w:r>
        <w:rPr>
          <w:sz w:val="22"/>
        </w:rPr>
        <w:t>Having established cross-agonist consistency within inflammasome, we next asked whether Ephb1 loss broadly constrains lytic execution across distinct inflammasome sensors. Across all inflammasome activation conditions, EphB1-deficient macrophages exhibited consistently reduced LDH release compared with WT controls (Fig. 1d). These findings indicate that EphB1 deficiency broadly attenuates pyroptotic cell lysis downstream of distinct inflammasome receptors, consistent with a role in a shared execution step rather than pathway-specific signaling.</w:t>
      </w:r>
    </w:p>
    <w:p>
      <w:pPr/>
      <w:r>
        <w:rPr>
          <w:sz w:val="22"/>
        </w:rPr>
        <w:t>Having established a output-limited inflammasome phenotype upon Ephb1-deficiency macrophages,  we next asked whether the defect reflects impaired upstream priming/assembly  or instead a restriction at the terminal, GSDMD pore–driven pyroptotic execution.</w:t>
      </w:r>
    </w:p>
    <w:p>
      <w:pPr>
        <w:pStyle w:val="Heading2"/>
      </w:pPr>
      <w:r>
        <w:t>EphB1 deficiency reduces pyroptotic execution</w:t>
      </w:r>
    </w:p>
    <w:p>
      <w:pPr/>
      <w:r>
        <w:rPr>
          <w:sz w:val="22"/>
        </w:rPr>
        <w:t>To map the position of Ephb1 within the inflammasome pathway,  we compared inflammasome responses triggered by NLRP3, AIM2, and NLRC4 in WT and Ephb1-deficient macrophages.</w:t>
      </w:r>
    </w:p>
    <w:p>
      <w:pPr/>
      <w:r>
        <w:rPr>
          <w:sz w:val="22"/>
        </w:rPr>
        <w:t>LPS stimulation induced robust and comparable increases in Tnf, Il6, and Il-1β mRNA in WT and EphB1-deficient macrophages across all examined time points (Fig. 2a,b). Together, these data indicate that EphB1 deficiency does not impair TLR4–NF-κB–dependent transcriptional priming, arguing against defective first-signal activation as the cause of reduced inflammasome output.</w:t>
      </w:r>
    </w:p>
    <w:p>
      <w:pPr/>
      <w:r>
        <w:rPr>
          <w:sz w:val="22"/>
        </w:rPr>
        <w:t>We next asked whether conventional cytokine secretion was preserved, which would argue against a generalized secretory defect. LPS stimulation induced comparable increases in TNF-α and IL-6 in WT and EphB1-deficient macrophages, with no significant genotype-dependent differences (Fig. 2c). Thus, EphB1 deficiency does not measurably impair TLR4-driven secretion of TNF-α or IL-6, arguing against a generalized secretory defect as the basis for reduced inflammasome-associated outputs.</w:t>
      </w:r>
    </w:p>
    <w:p>
      <w:pPr/>
      <w:r>
        <w:rPr>
          <w:sz w:val="22"/>
        </w:rPr>
        <w:t>We next asked whether the Ephb1-dependent difference specifically affects inflammasome-triggered IL-1β release across different levels of stimulation. While IL-1β release increased with higher nigericin doses in both genotypes, EphB1-deficient macrophages consistently released less IL-1β than WT controls at each stimulatory dose (Fig. 2d). These results indicate that EphB1 deficiency limits mature IL-1β release across the tested range of NLRP3 activation, supporting a defect at a late inflammasome execution or export step rather than impaired priming.</w:t>
      </w:r>
    </w:p>
    <w:p>
      <w:pPr/>
      <w:r>
        <w:rPr>
          <w:sz w:val="22"/>
        </w:rPr>
        <w:t>We next examined whether this defect reflects impaired inflammasome assembly at the ASC platform. Under NLRP3 activation conditions, EphB1-deficient macrophages displayed levels of ASC oligomers, dimers, and monomers comparable to those observed in WT controls (Fig. 2e). These data indicate that EphB1 deficiency does not disrupt ASC oligomerization during NLRP3 inflammasome activation, arguing against defective inflammasome assembly as the basis for reduced downstream outputs.</w:t>
      </w:r>
    </w:p>
    <w:p>
      <w:pPr/>
      <w:r>
        <w:rPr>
          <w:sz w:val="22"/>
        </w:rPr>
        <w:t>We next examined whether caspase-1 activation itself is preserved. Caspase-1 activation, as reflected by intracellular p20 levels, was comparable between WT and EphB1-deficient macrophages (Fig. 2f). These results localize the EphB1-dependent defect to a step downstream of caspase-1 activation.</w:t>
      </w:r>
    </w:p>
    <w:p>
      <w:pPr/>
      <w:r>
        <w:rPr>
          <w:sz w:val="22"/>
        </w:rPr>
        <w:t>We next examined whether the canonical caspase-1 substrates—pro-IL-1β and GSDMD—are processed normally. Caspase-1–dependent cleavage of GSDMD and pro–IL-1β occurred efficiently in EphB1-deficient macrophages, yielding levels of cleavage and maturation comparable to those in WT cells (Fig. 2g). Together, these results demonstrate that EphB1 deficiency does not compromise caspase-1 substrate cleavage per se but selectively limits the extracellular release of mature inflammasome products, thereby localizing the defect to a late execution or export step.</w:t>
      </w:r>
    </w:p>
    <w:p>
      <w:pPr/>
      <w:r>
        <w:rPr>
          <w:sz w:val="22"/>
        </w:rPr>
        <w:t>Having mapped the bottleneck pyroptotic execution,  we next asked whether Ephb1 specifically gates the early engagement of GSDMD-NT with mitochondria that precedes pore function and organelle injury.</w:t>
      </w:r>
    </w:p>
    <w:p>
      <w:pPr>
        <w:pStyle w:val="Heading2"/>
      </w:pPr>
      <w:r>
        <w:t>EphB1 deficiency reduces mitochondrial enrichment of GSDMD</w:t>
      </w:r>
    </w:p>
    <w:p>
      <w:pPr/>
      <w:r>
        <w:rPr>
          <w:sz w:val="22"/>
        </w:rPr>
        <w:t>To investigate how Ephb1 regulates pyroptotic execution, we examined mitochondrial integrity and GSDMD localization during NLRP3 inflammasome activation in WT and Ephb1-deficient macrophages.</w:t>
      </w:r>
    </w:p>
    <w:p>
      <w:pPr/>
      <w:r>
        <w:rPr>
          <w:sz w:val="22"/>
        </w:rPr>
        <w:t>Upon inflammasome activation, EphB1-deficient macrophages exhibited reduced accumulation of cytosolic ROS and a smaller loss of mitochondrial membrane potential compared with WT cells. In contrast, mitochondrial ROS levels measured by MitoSOX showed no significant genotype-dependent difference (Fig. 3a,b,c,d,e,f,g,h). Together, these results indicate that EphB1 deficiency does not cause an intrinsic alteration in mitochondrial membrane potential at baseline but limits ROS accumulation and mitochondrial depolarization during inflammasome activation, suggesting reduced mitochondrial damage.</w:t>
      </w:r>
    </w:p>
    <w:p>
      <w:pPr/>
      <w:r>
        <w:rPr>
          <w:sz w:val="22"/>
        </w:rPr>
        <w:t>We therefore examined early mitochondrial events during inflammasome activation to determine whether Ephb1 deficiency affects mitochondrial content release. In WT macrophages, inflammasome activation induced a rapid and transient pulse of cytosolic mtDNA, peaking at 7.5min, whereas this cytosolic mtDNA peak was markedly reduced in EphB1-deficient macrophages (Fig. 3i,j,s3,d,f,g). Together, these results indicate that EphB1 deficiency reduces inflammasome-induced release of mitochondrial DNA into the cytosol without altering total mtDNA abundance.</w:t>
      </w:r>
    </w:p>
    <w:p>
      <w:pPr/>
      <w:r>
        <w:rPr>
          <w:sz w:val="22"/>
        </w:rPr>
        <w:t>We next examined whether GSDMD recruitment to mitochondria follows a similar temporal pattern during inflammasome activation. In WT macrophages, GSDMD-NT accumulated in the mitochondrial fraction at approximately 7.5 min after inflammasome activation, whereas this early mitochondrial enrichment of GSDMD-NT was markedly reduced in Ephb1-deficient macrophages (Fig. 3k,s3e). Together, these results indicate that EphB1 promotes early mitochondrial enrichment of GSDMD-NT during inflammasome activation.</w:t>
      </w:r>
    </w:p>
    <w:p>
      <w:pPr/>
      <w:r>
        <w:rPr>
          <w:sz w:val="22"/>
        </w:rPr>
        <w:t>Having localized the execution defect to the GSDMD–mitochondria interface,  we next asked whether a defined lipid gate at the mitochondrial membrane—cardiolipin abundance—accounts for the altered engagement efficiency.</w:t>
      </w:r>
    </w:p>
    <w:p>
      <w:pPr>
        <w:pStyle w:val="Heading2"/>
      </w:pPr>
      <w:r>
        <w:t>EphB1 deficiency reduces cardiolipin abundance</w:t>
      </w:r>
    </w:p>
    <w:p>
      <w:pPr/>
      <w:r>
        <w:rPr>
          <w:sz w:val="22"/>
        </w:rPr>
        <w:t>To determine whether mitochondrial membrane composition contributes to the Ephb1-dependent phenotype, we quantified cardiolipin abundance in WT and Ephb1-deficient macrophages.</w:t>
      </w:r>
    </w:p>
    <w:p>
      <w:pPr/>
      <w:r>
        <w:rPr>
          <w:sz w:val="22"/>
        </w:rPr>
        <w:t>Ephb1-deficient macrophages displayed significantly lower NAO fluorescence than WT cells, indicating a reduced NAO-detectable cardiolipin pool (Fig. 4a,b).</w:t>
      </w:r>
    </w:p>
    <w:p>
      <w:pPr/>
      <w:r>
        <w:rPr>
          <w:sz w:val="22"/>
        </w:rPr>
        <w:t>We next examined whether lipidomic analysis confirms changes in cardiolipin abundance. Compared with WT cells, Ephb1-deficient macrophages exhibited a significant reduction in total cardiolipin abundance(~70% of WT levels) (Fig. 4c,d). Together, these lipidomic data show that EphB1 deficiency not only reduces the NAO-accessible cardiolipin pool but also decreases total cardiolipin abundance, providing a quantitative membrane lipid basis for the attenuated mitochondrial damage observed in EphB1-deficient macrophages.</w:t>
      </w:r>
    </w:p>
    <w:p>
      <w:pPr/>
      <w:r>
        <w:rPr>
          <w:sz w:val="22"/>
        </w:rPr>
        <w:t>We next tested whether pharmacological inhibition of cardiolipin biosynthesis alters  cardiolipin abundance. AD treatment markedly reduced NAO fluorescence in WT macrophages, pharmacological inhibition of cardiolipin biosynthesis decreases the cardiolipin abundance (Fig. 4e,f).</w:t>
      </w:r>
    </w:p>
    <w:p>
      <w:pPr/>
      <w:r>
        <w:rPr>
          <w:sz w:val="22"/>
        </w:rPr>
        <w:t>We next examined whether reduced cardiolipin abundance affects inflammasome-mediated IL-1β release. AD treatment markedly suppressed LPS and Nigericin induced IL-1β release in macrophages (Fig. 4g). These results indicate that pharmacological reduction of cardiolipin abundant suppresses inflammasome-induced IL-1β release.</w:t>
      </w:r>
    </w:p>
    <w:p>
      <w:pPr/>
      <w:r>
        <w:rPr>
          <w:sz w:val="22"/>
        </w:rPr>
        <w:t>We next tested whether perturbation of cardiolipin remodeling produces a similar effect. BEL treatment led to a marked reduction in NAO fluorescence intensity, indicating that pharmacological interference with cardiolipin remodeling decrease the cardiolipin abundance (Fig. S4a,b). Together with perturbations targeting cardiolipin abundance, these results show that both manipulation of cardiolipin content and interference with cardiolipin remodeling can reduce NAO staining, indicating that changes in the NAO-accessible cardiolipin pool can arise through multiple mechanisms beyond alterations in total cardiolipin levels.</w:t>
      </w:r>
    </w:p>
    <w:p>
      <w:pPr/>
      <w:r>
        <w:rPr>
          <w:sz w:val="22"/>
        </w:rPr>
        <w:t>We next examined whether this perturbation similarly affects inflammasome-mediated IL-1β release. Across these perturbations, reduced cardiolipin abundant consistently decreased LPS and Nigericin induced IL-1β release (Fig. S4c). Together, these results show that perturbations affecting cardiolipin abundance or remodeling consistently reduce inflammasome-mediated IL-1β release.</w:t>
      </w:r>
    </w:p>
    <w:p>
      <w:pPr>
        <w:pStyle w:val="Heading2"/>
      </w:pPr>
      <w:r>
        <w:t>Membrane context is the dominant cardiolipin-related axis perturbed by EphB1 deficiency</w:t>
      </w:r>
    </w:p>
    <w:p>
      <w:pPr/>
      <w:r>
        <w:rPr>
          <w:sz w:val="22"/>
        </w:rPr>
        <w:t>To identify cellular processes associated with cardiolipin variation, we defined biological process axes centered on cardiolipin metabolism, each represented by lipidomic indicators and gene sets, and evaluated their association with cardiolipin abundance across batches.</w:t>
      </w:r>
    </w:p>
    <w:p>
      <w:pPr/>
      <w:r>
        <w:rPr>
          <w:sz w:val="22"/>
        </w:rPr>
        <w:t>This framework defines six functional axes—synthesis, remodeling, transport, supply, oxidation, and membrane context—and assigns to each axis representative genes and lipid readouts derived from transcriptomic and lipidomic datasets (Fig. 5a).</w:t>
      </w:r>
    </w:p>
    <w:p>
      <w:pPr/>
      <w:r>
        <w:rPr>
          <w:sz w:val="22"/>
        </w:rPr>
        <w:t>We next defined the specific gene and lipid features assigned to each axis. For each axis, we defined representative genes and lipid features together with predefined weighting and inclusion rules (Fig. 5b).</w:t>
      </w:r>
    </w:p>
    <w:p>
      <w:pPr/>
      <w:r>
        <w:rPr>
          <w:sz w:val="22"/>
        </w:rPr>
        <w:t>We next normalized multi-batch omics datasets and computed comparable axis-level scores. For each omics layer, raw data underwent quality control, normalization, and batch-aware modeling, followed by aggregation into predefined axis-level Z scores used for multi-omics integration (Fig. 5c).</w:t>
      </w:r>
    </w:p>
    <w:p>
      <w:pPr/>
      <w:r>
        <w:rPr>
          <w:sz w:val="22"/>
        </w:rPr>
        <w:t>We next examined whether axis effects are consistent across omics layers and batches. Across three RNA-seq batches and four lipidomics batches, only the membrane context axis displayed a consistent positive effect in both omics layers, with stable directionality (Fig. 5d). These results identify the membrane context axis as the only axis consistently perturbed by Ephb1 deficiency across omics layers.</w:t>
      </w:r>
    </w:p>
    <w:p>
      <w:pPr/>
      <w:r>
        <w:rPr>
          <w:sz w:val="22"/>
        </w:rPr>
        <w:t>We next integrated evidence across batches to obtain aggregated axis-level scores. Among the six axes, the membrane context axis showed the largest deviation from zero, with a multi-omics Z score of approximately +2.6 (Fig. 5e). These results identify membrane context as the primary axis perturbed by EphB1 deficiency.</w:t>
      </w:r>
    </w:p>
    <w:p>
      <w:pPr/>
      <w:r>
        <w:rPr>
          <w:sz w:val="22"/>
        </w:rPr>
        <w:t>We next examined the relationship between axis scores and cardiolipin abundance. Among all axes, the membrane context axis showed the strongest negative association with sum_CL, with higher combined Z scores corresponding to lower total cardiolipin levels, whereas all other axes displayed weak or near-zero correlations (Fig. 5f). These results indicate that total cardiolipin abundance (sum_CL) consistently capture membrane context axis perturbations across batches.</w:t>
      </w:r>
    </w:p>
    <w:p>
      <w:pPr/>
      <w:r>
        <w:rPr>
          <w:sz w:val="22"/>
        </w:rPr>
        <w:t>We next examined which Ephb1 downstream signaling pathways correlate most strongly with the membrane context axis.</w:t>
      </w:r>
    </w:p>
    <w:p>
      <w:pPr>
        <w:pStyle w:val="Heading2"/>
      </w:pPr>
      <w:r>
        <w:t>PI3K–AKT–mTOR signaling correlates with the membrane-context axis</w:t>
      </w:r>
    </w:p>
    <w:p>
      <w:pPr/>
      <w:r>
        <w:rPr>
          <w:sz w:val="22"/>
        </w:rPr>
        <w:t>To identify Ephb1 downstream signaling pathways associated with the membrane context axis, we constructed Ephb1-related pathway gene sets and evaluated their transcriptional changes and correlation with the membrane context axis.</w:t>
      </w:r>
    </w:p>
    <w:p>
      <w:pPr/>
      <w:r>
        <w:rPr>
          <w:sz w:val="22"/>
        </w:rPr>
        <w:t>We applied an RNA-based analysis framework in which Ephb1 status was treated as the upstream variable and downstream signaling pathway scores were evaluated for association with the membrane context axis (Fig. 6a).</w:t>
      </w:r>
    </w:p>
    <w:p>
      <w:pPr/>
      <w:r>
        <w:rPr>
          <w:sz w:val="22"/>
        </w:rPr>
        <w:t>We next defined candidate EphB1 downstream signaling gene sets for pathway-level analysis. Each gene set represents an EphB1-associated signaling pathway with predefined gene members and scoring directionality (Fig. 6b).</w:t>
      </w:r>
    </w:p>
    <w:p>
      <w:pPr/>
      <w:r>
        <w:rPr>
          <w:sz w:val="22"/>
        </w:rPr>
        <w:t>We next examined which pathways show consistent EphB1-dependent transcriptional changes across RNA batches. Across three RNA-seq batches, EphB1 deficiency induced consistent decreases in PI3K–AKT–mTOR pathway scores (KO &lt; WT). NF-κB/ROS and JAK–STAT modules showed weaker or batch-dependent reductions, whereas cytoskeleton-related pathways displayed positive shifts (Fig. 6c).</w:t>
      </w:r>
    </w:p>
    <w:p>
      <w:pPr/>
      <w:r>
        <w:rPr>
          <w:sz w:val="22"/>
        </w:rPr>
        <w:t>We next examined which pathways show the strongest change across batchs. Across pathways, PI3K–AKT–mTOR and JAK–STAT modules showed the largest decreases in EphB1-deficient macrophages, whereas cytoskeleton/adhesion pathways (FAK–Src–Rho) displayed positive shifts (Fig. 6d). Together, these results prioritize PI3K–AKT–mTOR as the most robust EphB1 downstream signaling candidate.</w:t>
      </w:r>
    </w:p>
    <w:p>
      <w:pPr/>
      <w:r>
        <w:rPr>
          <w:sz w:val="22"/>
        </w:rPr>
        <w:t>We next examined whether these pathways correlate with the membrane context axis. Notably, the PI3K–AKT–mTOR pathway shows coordinated shifts along both axes, with KO samples displaced toward lower M and higher Z values, whereas WT samples occupy the opposite quadrant. In contrast, JAK–STAT inflammatory and FAK–Src–Rho cytoskeleton pathways separate primarily along the Z axis while largely overlapping along the M axis (Fig. 6e). These results show that reduced PI3K–AKT–mTOR signaling is consistently associated with increased membrane context axis scores.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is consistent with an execution-layer threshold or cap operating after assembly, shaping how much output is released, when rupture occurs, and whether rupture occurs at all. Accordingly, the central question is not simply whether NLRP3 activates, but how terminal output is capped or thresholded when upstream activation appears comparable. This paradox can be reduced to a falsifiable minimal chain in which signal input is translated through a membrane-environment mediator into pore functional output. In this framing, upstream activation remains necessary, but it is not sufficient to predict the magnitude of lytic output. Our findings support this framework by linking the phenotype to execution-layer localization and, in turn, to a threshold model of terminal output. Across a canonical LPS-priming–nigericin NLRP3 paradigm (and additional inflammasome settings), Ephb1-deficient macrophages show blunted lytic outputs and reduced IL-1β release, yet these output changes do not automatically imply that priming, assembly, or caspase activation is globally disabled. Instead, the divergence is better localized to the execution layer: pyroptosis is not a binary switch, but a parameterized process shaped by pore formation efficiency, pore stability and conductance, and a sub-lytic ceiling imposed by membrane repair.</w:t>
      </w:r>
    </w:p>
    <w:p>
      <w:pPr/>
      <w:r>
        <w:rPr>
          <w:sz w:val="22"/>
        </w:rPr>
        <w:t>The execution-threshold model can be mechanistically interpreted through repair, rupture, and membrane-environment mediation. Conversely, terminal rupture is separable from pore formation and can be amplified by dedicated rupture factors (e.g., NINJ1), creating structural space for activation without proportional rupture. On this basis, an execution-threshold/cap model is both plausible and testable. To move beyond correlation, this model can be evaluated through three criteria: hierarchical masking, same-level rescue, and dose–response behavior. At present, our strongest support is for necessity and layer-localization; sufficiency requires dedicated rescue and pathway-validation experiments. We place the membrane lipid environment—not upstream assembly—as the mediator layer that translates signal input into execution output. Within this mediator layer, cardiolipin (CL) is considered a quantifiable metabolic and biophysical state—rather than merely an abstract binding-site concept—that can shift pore permissiveness. In this organization, Ephb1 is an upstream signal entry point whose loss propagates through downstream signaling networks to remodel the mitochondrial/membrane environment, thereby shifting the functional threshold and ceiling of GSDMD pore output.</w:t>
      </w:r>
    </w:p>
    <w:p>
      <w:pPr/>
      <w:r>
        <w:rPr>
          <w:sz w:val="22"/>
        </w:rPr>
        <w:t>Because complex systems often yield modest and distributed omics shifts, we avoid prematurely converging on a single enzyme node and instead use cross-batch mechanism axes to capture reproducible membrane-environment phenotypes. We then use mediation decomposition to prioritize candidate downstream pathways that best explain how Ephb1 perturbs these axes, yielding a testable roadmap rather than direct mechanistic proof. Here, mediation is used as a ranking tool: it prioritizes pathways for targeted perturbation along a pathway → CL/axis state → pore/output logic without implying direct biochemical sufficiency. This mediator-first framework provides an interpretable way to rationalize activation–output decoupling: similar upstream activation can yield divergent lytic outputs if membrane-environment thresholds are shifted.</w:t>
      </w:r>
    </w:p>
    <w:p>
      <w:pPr/>
      <w:r>
        <w:rPr>
          <w:sz w:val="22"/>
        </w:rPr>
        <w:t>A practical implication of an execution-layer cap is that inflammatory signaling could, in principle, be modulated without fully shutting down upstream inflammasome activation—potentially preserving host defense while keeping lytic damage below a pathological threshold. Take-home, in two sentences: Ephb1 acts as an upstream signal input that remodels the membrane environment (captured by CL metabolic state) to shift the functional threshold and ceiling of GSDMD pore output, thereby explaining why activation readouts can be similar while lytic outputs diverge. Framing pyroptosis in threshold terms—pore formation, repair capping, and rupture separability—turns activation–output decoupling from an empirical observation into a testable, portable model for interpreting inflammasome outputs.</w:t>
      </w:r>
    </w:p>
    <w:p>
      <w:pPr/>
      <w:r>
        <w:rPr>
          <w:sz w:val="22"/>
        </w:rPr>
        <w:t>Our central claim is deliberately scoped: the data most strongly support an execution-threshold model with membrane environment/CL as a high-priority mediator, whereas full sufficiency of the entire Ephb1→pathway→CL→pore loop remains to be closed. We do not claim that upstream activation is irrelevant; we claim it is necessary but insufficient to predict lytic output magnitude, and that execution-layer parameters (pore efficiency/stability, repair engagement, and rupture probability) provide the missing explanatory degrees of freedom. We also do not claim a direct Ephb1–GSDMD structural interaction or precise in situ CL accessibility/binding constants; our framework is built to explain relative threshold shifts using experimentally aligned readouts rather than absolute physical constants. Several alternative explanations remain testable, including ROS-first versus CL-first causality, dominance of repair or rupture pathways, and tool- or energetics-related confounds affecting CL-linked readouts. Accordingly, internal validity is constrained by measurement specificity, tool specificity, and batch structure, whereas external validity is limited by cell type, stimulation paradigm, and metabolic contexts in which nonlinear behavior may dominate. Importantly, these boundaries do not negate the model; they define where the model should be expected to hold and what falsifiable predictions would overturn it. Taken together, the model provides a layer-localized, mediator-based explanation for decoupling while defining concrete experiments to test sufficiency and pathway priority. To close the causal loop, a first priority is to test mediator-level sufficiency by comparing ROS lowering with direct CL restoration in Ephb1-deficient macrophages and asking whether CL rescue can recover early GSDMD-NT engagement and lytic IL-1β release. A second priority is to test mediation-prioritized pathways by asking whether pathway perturbation first shifts CL/axis states and then alters early pore/output readouts while minimally affecting priming and assembly metrics. Together, these experiments will determine whether the proposed chain is merely a correlated scaffold or a mechanistically sufficient route.</w:t>
      </w:r>
    </w:p>
    <w:p>
      <w:r>
        <w:br w:type="page"/>
      </w:r>
    </w:p>
    <w:p>
      <w:pPr>
        <w:pStyle w:val="Heading1"/>
      </w:pPr>
      <w:r>
        <w:t>Figures</w:t>
      </w:r>
    </w:p>
    <w:p>
      <w:pPr>
        <w:pStyle w:val="Caption"/>
      </w:pPr>
      <w:r>
        <w:rPr>
          <w:sz w:val="22"/>
        </w:rPr>
        <w:t>Figure 1.</w:t>
      </w:r>
    </w:p>
    <w:p>
      <w:pPr>
        <w:pStyle w:val="Caption"/>
      </w:pPr>
      <w:r>
        <w:rPr>
          <w:sz w:val="22"/>
        </w:rPr>
        <w:t>Figure 2.</w:t>
      </w:r>
    </w:p>
    <w:p>
      <w:pPr>
        <w:pStyle w:val="Caption"/>
      </w:pPr>
      <w:r>
        <w:rPr>
          <w:sz w:val="22"/>
        </w:rPr>
        <w:t>Figure 3.</w:t>
      </w:r>
    </w:p>
    <w:p>
      <w:pPr>
        <w:pStyle w:val="Caption"/>
      </w:pPr>
      <w:r>
        <w:rPr>
          <w:sz w:val="22"/>
        </w:rPr>
        <w:t>Figure 4.</w:t>
      </w:r>
    </w:p>
    <w:p>
      <w:pPr>
        <w:pStyle w:val="Caption"/>
      </w:pPr>
      <w:r>
        <w:rPr>
          <w:sz w:val="22"/>
        </w:rPr>
        <w:t>Figure 5.</w:t>
      </w:r>
    </w:p>
    <w:p>
      <w:pPr>
        <w:pStyle w:val="Caption"/>
      </w:pPr>
      <w:r>
        <w:rPr>
          <w:sz w:val="22"/>
        </w:rPr>
        <w:t>Figure 6.</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