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rPr>
          <w:sz w:val="22"/>
        </w:rPr>
        <w:t>Supplementary Figure 1.</w:t>
      </w:r>
    </w:p>
    <w:p>
      <w:r>
        <w:drawing>
          <wp:inline xmlns:a="http://schemas.openxmlformats.org/drawingml/2006/main" xmlns:pic="http://schemas.openxmlformats.org/drawingml/2006/picture">
            <wp:extent cx="5486400" cy="1931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画板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22"/>
        </w:rPr>
        <w:t>(a) qPCR analysis of transcriptional priming markers in primary peritoneal macrophages at the indicated time points following LPS stimulation, comparing WT and EphB1-deficient cells.</w:t>
        <w:br/>
        <w:br/>
        <w:t>(b) Cytokines release in supernatants from primary peritoneal macrophages following LPS priming and NLRP3 activation with increasing doses of nigericin, comparing WT and EphB1-deficient cells.</w:t>
        <w:br/>
        <w:br/>
        <w:t>Data are presented as mean ± SD unless otherwise indicate. n denotes biologically independent samples. For panels (a,b), n ≥ 3 per group, and results were reproduced in ≥3 independent experiments; Statistical significance was assessed using two-tailed unpaired t-tests. In panels (a), transcript levels were normalized to GAPDH and expressed relative to unstimulated controls; in panel (b), ELISA signals were background-subtracted and normalized to cell number. *P &lt; 0.05, **P &lt; 0.01, ***P &lt; 0.001; ns, not significant.</w:t>
      </w:r>
    </w:p>
    <w:p>
      <w:r>
        <w:br w:type="page"/>
      </w:r>
    </w:p>
    <w:p>
      <w:pPr>
        <w:pStyle w:val="Caption"/>
      </w:pPr>
      <w:r>
        <w:rPr>
          <w:sz w:val="22"/>
        </w:rPr>
        <w:t>Supplementary Figure 2.</w:t>
      </w:r>
    </w:p>
    <w:p>
      <w:r>
        <w:drawing>
          <wp:inline xmlns:a="http://schemas.openxmlformats.org/drawingml/2006/main" xmlns:pic="http://schemas.openxmlformats.org/drawingml/2006/picture">
            <wp:extent cx="5486400" cy="3651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画板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22"/>
        </w:rPr>
        <w:t>(a) Cytosolic mtDNA abundance measured by subcellular fractionation followed by qPCR in primary peritoneal macrophages at the indicated time points during NLRP3 inflammasome activation.</w:t>
        <w:br/>
        <w:br/>
        <w:t>(b) GSDMD abundance in mitochondrial fractions and total lysates from primary peritoneal macrophages at different time points during NLRP3 inflammasome activation.</w:t>
        <w:br/>
        <w:br/>
        <w:t>(c,d) Total and cytosolic mtDNA abundance measured by subcellular fractionation followed by qPCR in primary peritoneal macrophages at the indicated time points during NLRP3 inflammasome activation, comparing WT and EphB1-deficient cells.</w:t>
        <w:br/>
        <w:br/>
        <w:t>Data are presented as mean ± SD unless otherwise indicate. n denotes biologically independent samples. For panels (c–d), n ≥ 3 per group, and results were reproduced in ≥3 independent experiments. Statistical significance was assessed using two-tailed unpaired t-tests. transcript levels were normalized to total component and expressed relative to unstimulated controls. *P &lt; 0.05, **P &lt; 0.01, ***P &lt; 0.001; ns, not significant.</w:t>
      </w:r>
    </w:p>
    <w:p>
      <w:r>
        <w:br w:type="page"/>
      </w:r>
    </w:p>
    <w:p>
      <w:pPr>
        <w:pStyle w:val="Caption"/>
      </w:pPr>
      <w:r>
        <w:rPr>
          <w:sz w:val="22"/>
        </w:rPr>
        <w:t>Supplementary Figure 3.</w:t>
      </w:r>
    </w:p>
    <w:p>
      <w:r>
        <w:drawing>
          <wp:inline xmlns:a="http://schemas.openxmlformats.org/drawingml/2006/main" xmlns:pic="http://schemas.openxmlformats.org/drawingml/2006/picture">
            <wp:extent cx="5486400" cy="3611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画板 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22"/>
        </w:rPr>
        <w:t>(a) NAO-associated fluorescence measured by imaging analysis in primary peritoneal macrophages under unstimulated conditions, comparing WT and EphB1-deficient cells.</w:t>
        <w:br/>
        <w:br/>
        <w:t>(b) Pharmacological inhibition of iPLA2 with BEL reduces NAO-associated fluorescence and collapses genotype-dependent differences in WT and Ephb1-deficient primary peritoneal macrophages.</w:t>
        <w:br/>
        <w:br/>
        <w:t>(c) IL-1β release in culture supernatants from primary peritoneal macrophages following AD pretreatment, LPS priming, and nigericin stimulation, comparing WT and EphB1-deficient cells across the indicated doses and treatment durations.</w:t>
        <w:br/>
        <w:br/>
        <w:t>Data are presented as mean ± SD unless otherwise indicated, and n denotes biologically independent samples or experiments. For panels (a,b), n ≥ 3 per group, with results reproduced in ≥3 independent experiments; NAO fluorescence was quantified under matched acquisition settings, and statistical significance was assessed using two-tailed unpaired t-tests. For panel (c), n ≥ 3 independent experiments per group, with results reproduced in ≥3 independent experiments; statistical significance was assessed using two-tailed unpaired t-tests. *P &lt; 0.05, **P &lt; 0.01, ***P &lt; 0.001; ns, not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