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INTERPRETACAO_RESULTADOS</w:t>
      </w:r>
    </w:p>
    <w:bookmarkStart w:id="27" w:name="interpretação-dos-resultados-pepmem-ai"/>
    <w:p>
      <w:pPr>
        <w:pStyle w:val="Heading1"/>
      </w:pPr>
      <w:r>
        <w:t xml:space="preserve">Interpretação dos resultados — PepMem-AI</w:t>
      </w:r>
    </w:p>
    <w:p>
      <w:pPr>
        <w:pStyle w:val="FirstParagraph"/>
      </w:pPr>
      <w:r>
        <w:t xml:space="preserve">Guia para ler as saídas do dashboard (Predição, Ranking, XAI) e dos artefatos de treino.</w:t>
      </w:r>
    </w:p>
    <w:p>
      <w:pPr>
        <w:pStyle w:val="BodyText"/>
      </w:pPr>
      <w:r>
        <w:t xml:space="preserve">Como os modelos foram treinados:</w:t>
      </w:r>
      <w:r>
        <w:t xml:space="preserve"> </w:t>
      </w:r>
      <w:hyperlink r:id="rId9">
        <w:r>
          <w:rPr>
            <w:rStyle w:val="VerbatimChar"/>
          </w:rPr>
          <w:t xml:space="preserve">TREINO.md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Aviso:</w:t>
      </w:r>
      <w:r>
        <w:t xml:space="preserve"> </w:t>
      </w:r>
      <w:r>
        <w:t xml:space="preserve">o PepMem-AI</w:t>
      </w:r>
      <w:r>
        <w:t xml:space="preserve"> </w:t>
      </w:r>
      <w:r>
        <w:rPr>
          <w:b/>
          <w:bCs/>
        </w:rPr>
        <w:t xml:space="preserve">prioriza candidatos</w:t>
      </w:r>
      <w:r>
        <w:t xml:space="preserve"> </w:t>
      </w:r>
      <w:r>
        <w:t xml:space="preserve">para ensaio in vitro. Não substitui MIC experimental, citotoxicidade nem revisão clínica.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as fórmulas estão em texto puro (blocos</w:t>
      </w:r>
      <w:r>
        <w:t xml:space="preserve"> </w:t>
      </w:r>
      <w:r>
        <w:rPr>
          <w:rStyle w:val="VerbatimChar"/>
        </w:rPr>
        <w:t xml:space="preserve">```text</w:t>
      </w:r>
      <w:r>
        <w:t xml:space="preserve"> </w:t>
      </w:r>
      <w:r>
        <w:t xml:space="preserve">) para aparecerem no preview do Cursor. O LaTeX nativo muitas vezes não renderiza aqui.</w:t>
      </w:r>
    </w:p>
    <w:p>
      <w:r>
        <w:pict>
          <v:rect style="width:0;height:1.5pt" o:hralign="center" o:hrstd="t" o:hr="t"/>
        </w:pict>
      </w:r>
    </w:p>
    <w:bookmarkStart w:id="10" w:name="o-que-o-modelo-responde"/>
    <w:p>
      <w:pPr>
        <w:pStyle w:val="Heading2"/>
      </w:pPr>
      <w:r>
        <w:t xml:space="preserve">1. O que o modelo responde</w:t>
      </w:r>
    </w:p>
    <w:p>
      <w:pPr>
        <w:pStyle w:val="FirstParagraph"/>
      </w:pPr>
      <w:r>
        <w:t xml:space="preserve">Pergunta central:</w:t>
      </w:r>
    </w:p>
    <w:p>
      <w:pPr>
        <w:pStyle w:val="BlockText"/>
      </w:pPr>
      <w:r>
        <w:t xml:space="preserve">Dado um</w:t>
      </w:r>
      <w:r>
        <w:t xml:space="preserve"> </w:t>
      </w:r>
      <w:r>
        <w:rPr>
          <w:b/>
          <w:bCs/>
        </w:rPr>
        <w:t xml:space="preserve">peptídeo</w:t>
      </w:r>
      <w:r>
        <w:t xml:space="preserve"> </w:t>
      </w:r>
      <w:r>
        <w:t xml:space="preserve">(sequência ± carga) e uma</w:t>
      </w:r>
      <w:r>
        <w:t xml:space="preserve"> </w:t>
      </w:r>
      <w:r>
        <w:rPr>
          <w:b/>
          <w:bCs/>
        </w:rPr>
        <w:t xml:space="preserve">membrana-alvo</w:t>
      </w:r>
      <w:r>
        <w:t xml:space="preserve">, qual a chance de</w:t>
      </w:r>
      <w:r>
        <w:t xml:space="preserve"> </w:t>
      </w:r>
      <w:r>
        <w:rPr>
          <w:b/>
          <w:bCs/>
        </w:rPr>
        <w:t xml:space="preserve">alta atividade antimicrobiana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Alta atividade</w:t>
      </w:r>
      <w:r>
        <w:t xml:space="preserve"> </w:t>
      </w:r>
      <w:r>
        <w:t xml:space="preserve">(rótulo de treino):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 positiva</w:t>
            </w:r>
          </w:p>
        </w:tc>
        <w:tc>
          <w:tcPr/>
          <w:p>
            <w:pPr>
              <w:pStyle w:val="Compact"/>
            </w:pPr>
            <w:r>
              <w:t xml:space="preserve">MIC ≤</w:t>
            </w:r>
            <w:r>
              <w:t xml:space="preserve"> </w:t>
            </w:r>
            <w:r>
              <w:rPr>
                <w:b/>
                <w:bCs/>
              </w:rPr>
              <w:t xml:space="preserve">3,4 µM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 negativa</w:t>
            </w:r>
          </w:p>
        </w:tc>
        <w:tc>
          <w:tcPr/>
          <w:p>
            <w:pPr>
              <w:pStyle w:val="Compact"/>
            </w:pPr>
            <w:r>
              <w:t xml:space="preserve">MIC &gt; 3,4 µM</w:t>
            </w:r>
          </w:p>
        </w:tc>
      </w:tr>
    </w:tbl>
    <w:p>
      <w:pPr>
        <w:pStyle w:val="BodyText"/>
      </w:pPr>
      <w:r>
        <w:t xml:space="preserve">A saída principal é uma</w:t>
      </w:r>
      <w:r>
        <w:t xml:space="preserve"> </w:t>
      </w:r>
      <w:r>
        <w:rPr>
          <w:b/>
          <w:bCs/>
        </w:rPr>
        <w:t xml:space="preserve">probabilidade calibrada</w:t>
      </w:r>
      <w:r>
        <w:t xml:space="preserve"> </w:t>
      </w:r>
      <w:r>
        <w:t xml:space="preserve">entre 0 e 1, acompanhada de índices físico-químicos (PMI, carga) e, quando disponível, explicação SHAP e vizinhos do treino.</w:t>
      </w:r>
    </w:p>
    <w:p>
      <w:r>
        <w:pict>
          <v:rect style="width:0;height:1.5pt" o:hralign="center" o:hrstd="t" o:hr="t"/>
        </w:pict>
      </w:r>
    </w:p>
    <w:bookmarkEnd w:id="10"/>
    <w:bookmarkStart w:id="16" w:name="cards-da-aba-predição"/>
    <w:p>
      <w:pPr>
        <w:pStyle w:val="Heading2"/>
      </w:pPr>
      <w:r>
        <w:t xml:space="preserve">2. Cards da aba Predição</w:t>
      </w:r>
    </w:p>
    <w:p>
      <w:pPr>
        <w:pStyle w:val="FirstParagraph"/>
      </w:pPr>
      <w:r>
        <w:t xml:space="preserve">Exemplo (números ilustrativos):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  <w:tc>
          <w:tcPr/>
          <w:p>
            <w:pPr>
              <w:pStyle w:val="Compact"/>
            </w:pPr>
            <w:r>
              <w:t xml:space="preserve">Significado resumido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PMI</w:t>
            </w:r>
          </w:p>
        </w:tc>
        <w:tc>
          <w:tcPr/>
          <w:p>
            <w:pPr>
              <w:pStyle w:val="Compact"/>
            </w:pPr>
            <w:r>
              <w:t xml:space="preserve">4,636</w:t>
            </w:r>
          </w:p>
        </w:tc>
        <w:tc>
          <w:tcPr/>
          <w:p>
            <w:pPr>
              <w:pStyle w:val="Compact"/>
            </w:pPr>
            <w:r>
              <w:t xml:space="preserve">Score físico-químico de interação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Prob. calibrada</w:t>
            </w:r>
          </w:p>
        </w:tc>
        <w:tc>
          <w:tcPr/>
          <w:p>
            <w:pPr>
              <w:pStyle w:val="Compact"/>
            </w:pPr>
            <w:r>
              <w:t xml:space="preserve">31,4%</w:t>
            </w:r>
          </w:p>
        </w:tc>
        <w:tc>
          <w:tcPr/>
          <w:p>
            <w:pPr>
              <w:pStyle w:val="Compact"/>
            </w:pPr>
            <w:r>
              <w:t xml:space="preserve">Chance estimada de MIC ≤ 3,4 µM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Intervalo (árvores)</w:t>
            </w:r>
          </w:p>
        </w:tc>
        <w:tc>
          <w:tcPr/>
          <w:p>
            <w:pPr>
              <w:pStyle w:val="Compact"/>
            </w:pPr>
            <w:r>
              <w:t xml:space="preserve">0–76%</w:t>
            </w:r>
          </w:p>
        </w:tc>
        <w:tc>
          <w:tcPr/>
          <w:p>
            <w:pPr>
              <w:pStyle w:val="Compact"/>
            </w:pPr>
            <w:r>
              <w:t xml:space="preserve">Faixa de incerteza do ensemble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(q)</w:t>
            </w:r>
          </w:p>
        </w:tc>
        <w:tc>
          <w:tcPr/>
          <w:p>
            <w:pPr>
              <w:pStyle w:val="Compact"/>
            </w:pPr>
            <w:r>
              <w:t xml:space="preserve">5,0</w:t>
            </w:r>
          </w:p>
        </w:tc>
        <w:tc>
          <w:tcPr/>
          <w:p>
            <w:pPr>
              <w:pStyle w:val="Compact"/>
            </w:pPr>
            <w:r>
              <w:t xml:space="preserve">Carga líquida do peptídeo</w:t>
            </w:r>
          </w:p>
        </w:tc>
      </w:tr>
    </w:tbl>
    <w:bookmarkStart w:id="11" w:name="pmi-peptidemembrane-interaction-index"/>
    <w:p>
      <w:pPr>
        <w:pStyle w:val="Heading3"/>
      </w:pPr>
      <w:r>
        <w:t xml:space="preserve">2.1 PMI (Peptide–Membrane Interaction Index)</w:t>
      </w:r>
    </w:p>
    <w:p>
      <w:pPr>
        <w:pStyle w:val="FirstParagraph"/>
      </w:pPr>
      <w:r>
        <w:t xml:space="preserve">Índice</w:t>
      </w:r>
      <w:r>
        <w:t xml:space="preserve"> </w:t>
      </w:r>
      <w:r>
        <w:rPr>
          <w:b/>
          <w:bCs/>
        </w:rPr>
        <w:t xml:space="preserve">interpretável</w:t>
      </w:r>
      <w:r>
        <w:t xml:space="preserve"> </w:t>
      </w:r>
      <w:r>
        <w:t xml:space="preserve">(não é a probabilidade do RF). Combina carga, hidrofobicidade, momento hidrofóbico e colesterol:</w:t>
      </w:r>
    </w:p>
    <w:p>
      <w:pPr>
        <w:pStyle w:val="SourceCode"/>
      </w:pPr>
      <w:r>
        <w:rPr>
          <w:rStyle w:val="VerbatimChar"/>
        </w:rPr>
        <w:t xml:space="preserve">PMI = α · q_pep · |q_mem|</w:t>
      </w:r>
      <w:r>
        <w:br/>
      </w:r>
      <w:r>
        <w:rPr>
          <w:rStyle w:val="VerbatimChar"/>
        </w:rPr>
        <w:t xml:space="preserve">    + β · h_pep · h_mem</w:t>
      </w:r>
      <w:r>
        <w:br/>
      </w:r>
      <w:r>
        <w:rPr>
          <w:rStyle w:val="VerbatimChar"/>
        </w:rPr>
        <w:t xml:space="preserve">    + γ · μH_pep</w:t>
      </w:r>
      <w:r>
        <w:br/>
      </w:r>
      <w:r>
        <w:rPr>
          <w:rStyle w:val="VerbatimChar"/>
        </w:rPr>
        <w:t xml:space="preserve">    − δ · colesterol_mem</w:t>
      </w:r>
    </w:p>
    <w:p>
      <w:pPr>
        <w:pStyle w:val="FirstParagraph"/>
      </w:pPr>
      <w:r>
        <w:rPr>
          <w:b/>
          <w:bCs/>
        </w:rPr>
        <w:t xml:space="preserve">Pesos padrão atuais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 (alpha)</w:t>
            </w:r>
          </w:p>
        </w:tc>
        <w:tc>
          <w:tcPr/>
          <w:p>
            <w:pPr>
              <w:pStyle w:val="Compact"/>
            </w:pPr>
            <w:r>
              <w:t xml:space="preserve">1,0</w:t>
            </w:r>
          </w:p>
        </w:tc>
        <w:tc>
          <w:tcPr/>
          <w:p>
            <w:pPr>
              <w:pStyle w:val="Compact"/>
            </w:pPr>
            <w:r>
              <w:t xml:space="preserve">Atração eletrostática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 (beta)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  <w:r>
              <w:t xml:space="preserve">Compatibilidade hidrofóbica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γ (gamma)</w:t>
            </w:r>
          </w:p>
        </w:tc>
        <w:tc>
          <w:tcPr/>
          <w:p>
            <w:pPr>
              <w:pStyle w:val="Compact"/>
            </w:pPr>
            <w:r>
              <w:t xml:space="preserve">0,3</w:t>
            </w:r>
          </w:p>
        </w:tc>
        <w:tc>
          <w:tcPr/>
          <w:p>
            <w:pPr>
              <w:pStyle w:val="Compact"/>
            </w:pPr>
            <w:r>
              <w:t xml:space="preserve">Momento hidrofóbico (anfifilicidade)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(delta)</w:t>
            </w:r>
          </w:p>
        </w:tc>
        <w:tc>
          <w:tcPr/>
          <w:p>
            <w:pPr>
              <w:pStyle w:val="Compact"/>
            </w:pPr>
            <w:r>
              <w:t xml:space="preserve">0,4</w:t>
            </w:r>
          </w:p>
        </w:tc>
        <w:tc>
          <w:tcPr/>
          <w:p>
            <w:pPr>
              <w:pStyle w:val="Compact"/>
            </w:pPr>
            <w:r>
              <w:t xml:space="preserve">Penalização por colesterol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37"/>
        <w:gridCol w:w="1428"/>
        <w:gridCol w:w="41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 na fórmula</w:t>
            </w:r>
          </w:p>
        </w:tc>
        <w:tc>
          <w:tcPr/>
          <w:p>
            <w:pPr>
              <w:pStyle w:val="Compact"/>
            </w:pPr>
            <w:r>
              <w:t xml:space="preserve">Variáveis</w:t>
            </w:r>
          </w:p>
        </w:tc>
        <w:tc>
          <w:tcPr/>
          <w:p>
            <w:pPr>
              <w:pStyle w:val="Compact"/>
            </w:pPr>
            <w:r>
              <w:t xml:space="preserve">Papel biológico (simplificado)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 · q_pep · |q_mem|</w:t>
            </w:r>
          </w:p>
        </w:tc>
        <w:tc>
          <w:tcPr/>
          <w:p>
            <w:pPr>
              <w:pStyle w:val="Compact"/>
            </w:pPr>
            <w:r>
              <w:t xml:space="preserve">carga do peptídeo × |carga da membrana|</w:t>
            </w:r>
          </w:p>
        </w:tc>
        <w:tc>
          <w:tcPr/>
          <w:p>
            <w:pPr>
              <w:pStyle w:val="Compact"/>
            </w:pPr>
            <w:r>
              <w:t xml:space="preserve">Atração eletrostática (peptídeo catiônico × membrana aniônica)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 · h_pep · h_mem</w:t>
            </w:r>
          </w:p>
        </w:tc>
        <w:tc>
          <w:tcPr/>
          <w:p>
            <w:pPr>
              <w:pStyle w:val="Compact"/>
            </w:pPr>
            <w:r>
              <w:t xml:space="preserve">hidrofobicidades</w:t>
            </w:r>
          </w:p>
        </w:tc>
        <w:tc>
          <w:tcPr/>
          <w:p>
            <w:pPr>
              <w:pStyle w:val="Compact"/>
            </w:pPr>
            <w:r>
              <w:t xml:space="preserve">Compatibilidade com a bicamada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γ · μH_pep</w:t>
            </w:r>
          </w:p>
        </w:tc>
        <w:tc>
          <w:tcPr/>
          <w:p>
            <w:pPr>
              <w:pStyle w:val="Compact"/>
            </w:pPr>
            <w:r>
              <w:t xml:space="preserve">momento hidrofóbico</w:t>
            </w:r>
          </w:p>
        </w:tc>
        <w:tc>
          <w:tcPr/>
          <w:p>
            <w:pPr>
              <w:pStyle w:val="Compact"/>
            </w:pPr>
            <w:r>
              <w:t xml:space="preserve">Anfifilicidade / tendência a hélice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· colesterol_mem</w:t>
            </w:r>
          </w:p>
        </w:tc>
        <w:tc>
          <w:tcPr/>
          <w:p>
            <w:pPr>
              <w:pStyle w:val="Compact"/>
            </w:pPr>
            <w:r>
              <w:t xml:space="preserve">colesterol da membrana</w:t>
            </w:r>
          </w:p>
        </w:tc>
        <w:tc>
          <w:tcPr/>
          <w:p>
            <w:pPr>
              <w:pStyle w:val="Compact"/>
            </w:pPr>
            <w:r>
              <w:t xml:space="preserve">Penaliza membranas tipicamente mamíferas / mais rígidas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Como ler</w:t>
      </w:r>
    </w:p>
    <w:p>
      <w:pPr>
        <w:pStyle w:val="Compact"/>
        <w:numPr>
          <w:ilvl w:val="0"/>
          <w:numId w:val="1001"/>
        </w:numPr>
      </w:pPr>
      <w:r>
        <w:t xml:space="preserve">PMI</w:t>
      </w:r>
      <w:r>
        <w:t xml:space="preserve"> </w:t>
      </w:r>
      <w:r>
        <w:rPr>
          <w:b/>
          <w:bCs/>
        </w:rPr>
        <w:t xml:space="preserve">mais alto</w:t>
      </w:r>
      <w:r>
        <w:t xml:space="preserve"> </w:t>
      </w:r>
      <w:r>
        <w:t xml:space="preserve">→ o índice sugere interação mais favorável com aquele alvo.</w:t>
      </w:r>
    </w:p>
    <w:p>
      <w:pPr>
        <w:pStyle w:val="Compact"/>
        <w:numPr>
          <w:ilvl w:val="0"/>
          <w:numId w:val="1001"/>
        </w:numPr>
      </w:pPr>
      <w:r>
        <w:t xml:space="preserve">PMI alto</w:t>
      </w:r>
      <w:r>
        <w:t xml:space="preserve"> </w:t>
      </w:r>
      <w:r>
        <w:rPr>
          <w:b/>
          <w:bCs/>
        </w:rPr>
        <w:t xml:space="preserve">não garante</w:t>
      </w:r>
      <w:r>
        <w:t xml:space="preserve"> </w:t>
      </w:r>
      <w:r>
        <w:t xml:space="preserve">MIC baixo: o RF pode discordar (como no exemplo 4,6 de PMI com só ~31% de probabilidade).</w:t>
      </w:r>
    </w:p>
    <w:p>
      <w:pPr>
        <w:pStyle w:val="Compact"/>
        <w:numPr>
          <w:ilvl w:val="0"/>
          <w:numId w:val="1001"/>
        </w:numPr>
      </w:pPr>
      <w:r>
        <w:t xml:space="preserve">Use PMI junto com a probabilidade e com</w:t>
      </w:r>
      <w:r>
        <w:t xml:space="preserve"> </w:t>
      </w:r>
      <w:r>
        <w:rPr>
          <w:b/>
          <w:bCs/>
        </w:rPr>
        <w:t xml:space="preserve">PMI_sel</w:t>
      </w:r>
      <w:r>
        <w:t xml:space="preserve"> </w:t>
      </w:r>
      <w:r>
        <w:t xml:space="preserve">(aba Ranking).</w:t>
      </w:r>
    </w:p>
    <w:p>
      <w:pPr>
        <w:pStyle w:val="FirstParagraph"/>
      </w:pPr>
      <w:r>
        <w:rPr>
          <w:b/>
          <w:bCs/>
        </w:rPr>
        <w:t xml:space="preserve">PMI_sel</w:t>
      </w:r>
      <w:r>
        <w:t xml:space="preserve"> </w:t>
      </w:r>
      <w:r>
        <w:t xml:space="preserve">(seletividade):</w:t>
      </w:r>
    </w:p>
    <w:p>
      <w:pPr>
        <w:pStyle w:val="SourceCode"/>
      </w:pPr>
      <w:r>
        <w:rPr>
          <w:rStyle w:val="VerbatimChar"/>
        </w:rPr>
        <w:t xml:space="preserve">PMI_sel = PMI_alvo − PMI_célula_normal</w:t>
      </w:r>
    </w:p>
    <w:p>
      <w:pPr>
        <w:pStyle w:val="FirstParagraph"/>
      </w:pPr>
      <w:r>
        <w:t xml:space="preserve">Valores positivos sugerem preferência pelo alvo patológico em relação à membrana mamífera de referência.</w:t>
      </w:r>
    </w:p>
    <w:p>
      <w:r>
        <w:pict>
          <v:rect style="width:0;height:1.5pt" o:hralign="center" o:hrstd="t" o:hr="t"/>
        </w:pict>
      </w:r>
    </w:p>
    <w:bookmarkEnd w:id="11"/>
    <w:bookmarkStart w:id="12" w:name="probabilidade-calibrada"/>
    <w:p>
      <w:pPr>
        <w:pStyle w:val="Heading3"/>
      </w:pPr>
      <w:r>
        <w:t xml:space="preserve">2.2 Probabilidade calibrada</w:t>
      </w:r>
    </w:p>
    <w:p>
      <w:pPr>
        <w:pStyle w:val="FirstParagraph"/>
      </w:pPr>
      <w:r>
        <w:t xml:space="preserve">É a saída do Random Forest após</w:t>
      </w:r>
      <w:r>
        <w:t xml:space="preserve"> </w:t>
      </w:r>
      <w:r>
        <w:rPr>
          <w:b/>
          <w:bCs/>
        </w:rPr>
        <w:t xml:space="preserve">calibração isotônica</w:t>
      </w:r>
      <w:r>
        <w:t xml:space="preserve"> </w:t>
      </w:r>
      <w:r>
        <w:t xml:space="preserve">ajustada nas previsões</w:t>
      </w:r>
      <w:r>
        <w:t xml:space="preserve"> </w:t>
      </w:r>
      <w:r>
        <w:rPr>
          <w:i/>
          <w:iCs/>
        </w:rPr>
        <w:t xml:space="preserve">out-of-fold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leave-one-peptide-out (LOPO)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Conceito</w:t>
            </w:r>
          </w:p>
        </w:tc>
        <w:tc>
          <w:tcPr/>
          <w:p>
            <w:pPr>
              <w:pStyle w:val="Compact"/>
            </w:pPr>
            <w:r>
              <w:t xml:space="preserve">O que 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Prob.</w:t>
            </w:r>
            <w:r>
              <w:t xml:space="preserve"> </w:t>
            </w:r>
            <w:r>
              <w:rPr>
                <w:b/>
                <w:bCs/>
              </w:rPr>
              <w:t xml:space="preserve">bruta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predict_proba</w:t>
            </w:r>
            <w:r>
              <w:t xml:space="preserve"> </w:t>
            </w:r>
            <w:r>
              <w:t xml:space="preserve">do RF (antes da calibração)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Prob.</w:t>
            </w:r>
            <w:r>
              <w:t xml:space="preserve"> </w:t>
            </w:r>
            <w:r>
              <w:rPr>
                <w:b/>
                <w:bCs/>
              </w:rPr>
              <w:t xml:space="preserve">calibrada</w:t>
            </w:r>
          </w:p>
        </w:tc>
        <w:tc>
          <w:tcPr/>
          <w:p>
            <w:pPr>
              <w:pStyle w:val="Compact"/>
            </w:pPr>
            <w:r>
              <w:t xml:space="preserve">Prob. bruta mapeada para melhor refletir frequências reais no LOPO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LOPO</w:t>
            </w:r>
          </w:p>
        </w:tc>
        <w:tc>
          <w:tcPr/>
          <w:p>
            <w:pPr>
              <w:pStyle w:val="Compact"/>
            </w:pPr>
            <w:r>
              <w:t xml:space="preserve">Em cada fold,</w:t>
            </w:r>
            <w:r>
              <w:t xml:space="preserve"> </w:t>
            </w:r>
            <w:r>
              <w:rPr>
                <w:b/>
                <w:bCs/>
              </w:rPr>
              <w:t xml:space="preserve">todos</w:t>
            </w:r>
            <w:r>
              <w:t xml:space="preserve"> </w:t>
            </w:r>
            <w:r>
              <w:t xml:space="preserve">os pares de um peptídeo ficam de fora do treino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 que LOPO importa</w:t>
      </w:r>
      <w:r>
        <w:br/>
      </w:r>
      <w:r>
        <w:t xml:space="preserve">Análogos quase idênticos (ex.: StigA6 vs StigA16 ~94%) vazam informação no leave-one-out</w:t>
      </w:r>
      <w:r>
        <w:t xml:space="preserve"> </w:t>
      </w:r>
      <w:r>
        <w:rPr>
          <w:b/>
          <w:bCs/>
        </w:rPr>
        <w:t xml:space="preserve">por amostra</w:t>
      </w:r>
      <w:r>
        <w:t xml:space="preserve">. O leave-one-</w:t>
      </w:r>
      <w:r>
        <w:rPr>
          <w:b/>
          <w:bCs/>
        </w:rPr>
        <w:t xml:space="preserve">peptide</w:t>
      </w:r>
      <w:r>
        <w:t xml:space="preserve">-out é a métrica “honesta” de generalização para a família Stigmurin.</w:t>
      </w:r>
    </w:p>
    <w:p>
      <w:pPr>
        <w:pStyle w:val="BodyText"/>
      </w:pPr>
      <w:r>
        <w:rPr>
          <w:b/>
          <w:bCs/>
        </w:rPr>
        <w:t xml:space="preserve">Faixas práticas (dashboard)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Prob. calibrada</w:t>
            </w:r>
          </w:p>
        </w:tc>
        <w:tc>
          <w:tcPr/>
          <w:p>
            <w:pPr>
              <w:pStyle w:val="Compact"/>
            </w:pPr>
            <w:r>
              <w:t xml:space="preserve">Interpretação operacional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70%</w:t>
            </w:r>
          </w:p>
        </w:tc>
        <w:tc>
          <w:tcPr/>
          <w:p>
            <w:pPr>
              <w:pStyle w:val="Compact"/>
            </w:pPr>
            <w:r>
              <w:t xml:space="preserve">Candidato forte para priorizar ensaio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40–70%</w:t>
            </w:r>
          </w:p>
        </w:tc>
        <w:tc>
          <w:tcPr/>
          <w:p>
            <w:pPr>
              <w:pStyle w:val="Compact"/>
            </w:pPr>
            <w:r>
              <w:t xml:space="preserve">Intermediário — use PMI, vizinhos e ranking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40%</w:t>
            </w:r>
          </w:p>
        </w:tc>
        <w:tc>
          <w:tcPr/>
          <w:p>
            <w:pPr>
              <w:pStyle w:val="Compact"/>
            </w:pPr>
            <w:r>
              <w:t xml:space="preserve">Baixa chance de alta atividade no modelo</w:t>
            </w:r>
          </w:p>
        </w:tc>
      </w:tr>
    </w:tbl>
    <w:p>
      <w:pPr>
        <w:pStyle w:val="BodyText"/>
      </w:pPr>
      <w:r>
        <w:t xml:space="preserve">No exemplo</w:t>
      </w:r>
      <w:r>
        <w:t xml:space="preserve"> </w:t>
      </w:r>
      <w:r>
        <w:rPr>
          <w:b/>
          <w:bCs/>
        </w:rPr>
        <w:t xml:space="preserve">31,4%</w:t>
      </w:r>
      <w:r>
        <w:t xml:space="preserve">: o modelo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classifica o par como altamente ativo; trate como candidato fraco/intermediário-baixo e valide na bancada se houver outro motivo (PMI alto, interesse biológico, etc.).</w:t>
      </w:r>
    </w:p>
    <w:p>
      <w:r>
        <w:pict>
          <v:rect style="width:0;height:1.5pt" o:hralign="center" o:hrstd="t" o:hr="t"/>
        </w:pict>
      </w:r>
    </w:p>
    <w:bookmarkEnd w:id="12"/>
    <w:bookmarkStart w:id="13" w:name="intervalo-árvores-e-sigma-σ"/>
    <w:p>
      <w:pPr>
        <w:pStyle w:val="Heading3"/>
      </w:pPr>
      <w:r>
        <w:t xml:space="preserve">2.3 Intervalo (árvores) e sigma (σ)</w:t>
      </w:r>
    </w:p>
    <w:p>
      <w:pPr>
        <w:pStyle w:val="FirstParagraph"/>
      </w:pPr>
      <w:r>
        <w:t xml:space="preserve">O RF é um ensemble de árvores. Para uma amostra:</w:t>
      </w:r>
    </w:p>
    <w:p>
      <w:pPr>
        <w:pStyle w:val="Compact"/>
        <w:numPr>
          <w:ilvl w:val="0"/>
          <w:numId w:val="1002"/>
        </w:numPr>
      </w:pPr>
      <w:r>
        <w:t xml:space="preserve">Cada árvore dá uma probabilidade da classe positiva.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σ (sigma)</w:t>
      </w:r>
      <w:r>
        <w:t xml:space="preserve"> </w:t>
      </w:r>
      <w:r>
        <w:t xml:space="preserve">= desvio-padrão dessas probs.</w:t>
      </w:r>
    </w:p>
    <w:p>
      <w:pPr>
        <w:pStyle w:val="Compact"/>
        <w:numPr>
          <w:ilvl w:val="0"/>
          <w:numId w:val="1002"/>
        </w:numPr>
      </w:pPr>
      <w:r>
        <w:t xml:space="preserve">Intervalo aproximado:</w:t>
      </w:r>
    </w:p>
    <w:p>
      <w:pPr>
        <w:pStyle w:val="SourceCode"/>
      </w:pPr>
      <w:r>
        <w:rPr>
          <w:rStyle w:val="VerbatimChar"/>
        </w:rPr>
        <w:t xml:space="preserve">intervalo = [ max(0, p_calibrada − σ)  ,  min(1, p_calibrada + σ) 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Leitura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Intervalo</w:t>
            </w:r>
            <w:r>
              <w:t xml:space="preserve"> </w:t>
            </w:r>
            <w:r>
              <w:rPr>
                <w:b/>
                <w:bCs/>
              </w:rPr>
              <w:t xml:space="preserve">estreito</w:t>
            </w:r>
          </w:p>
        </w:tc>
        <w:tc>
          <w:tcPr/>
          <w:p>
            <w:pPr>
              <w:pStyle w:val="Compact"/>
            </w:pPr>
            <w:r>
              <w:t xml:space="preserve">Árvores concordam → predição mais estável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Intervalo</w:t>
            </w:r>
            <w:r>
              <w:t xml:space="preserve"> </w:t>
            </w:r>
            <w:r>
              <w:rPr>
                <w:b/>
                <w:bCs/>
              </w:rPr>
              <w:t xml:space="preserve">largo</w:t>
            </w:r>
            <w:r>
              <w:t xml:space="preserve"> </w:t>
            </w:r>
            <w:r>
              <w:t xml:space="preserve">(ex.: 0–76%, σ ≈ 0,45)</w:t>
            </w:r>
          </w:p>
        </w:tc>
        <w:tc>
          <w:tcPr/>
          <w:p>
            <w:pPr>
              <w:pStyle w:val="Compact"/>
            </w:pPr>
            <w:r>
              <w:t xml:space="preserve">Discordância alta →</w:t>
            </w:r>
            <w:r>
              <w:t xml:space="preserve"> </w:t>
            </w:r>
            <w:r>
              <w:rPr>
                <w:b/>
                <w:bCs/>
              </w:rPr>
              <w:t xml:space="preserve">pouca certeza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intervalo largo com prob. média ~30% significa “o modelo está inseguro”, não “há 76% de chance”.</w:t>
      </w:r>
    </w:p>
    <w:p>
      <w:r>
        <w:pict>
          <v:rect style="width:0;height:1.5pt" o:hralign="center" o:hrstd="t" o:hr="t"/>
        </w:pict>
      </w:r>
    </w:p>
    <w:bookmarkEnd w:id="13"/>
    <w:bookmarkStart w:id="14" w:name="carga-líquida-q"/>
    <w:p>
      <w:pPr>
        <w:pStyle w:val="Heading3"/>
      </w:pPr>
      <w:r>
        <w:t xml:space="preserve">2.4 Carga líquida (q)</w:t>
      </w:r>
    </w:p>
    <w:p>
      <w:pPr>
        <w:pStyle w:val="FirstParagraph"/>
      </w:pPr>
      <w:r>
        <w:t xml:space="preserve">Carga estimada (ou informada manualmente) do peptídeo em pH fisiológico aproximado.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Observação</w:t>
            </w:r>
          </w:p>
        </w:tc>
        <w:tc>
          <w:tcPr/>
          <w:p>
            <w:pPr>
              <w:pStyle w:val="Compact"/>
            </w:pPr>
            <w:r>
              <w:t xml:space="preserve">Comentário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 &gt; 0 (catiônico)</w:t>
            </w:r>
          </w:p>
        </w:tc>
        <w:tc>
          <w:tcPr/>
          <w:p>
            <w:pPr>
              <w:pStyle w:val="Compact"/>
            </w:pPr>
            <w:r>
              <w:t xml:space="preserve">Favorece atração a membranas bacterianas aniônicas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 muito alto</w:t>
            </w:r>
          </w:p>
        </w:tc>
        <w:tc>
          <w:tcPr/>
          <w:p>
            <w:pPr>
              <w:pStyle w:val="Compact"/>
            </w:pPr>
            <w:r>
              <w:t xml:space="preserve">Pode aumentar atividade</w:t>
            </w:r>
            <w:r>
              <w:t xml:space="preserve"> </w:t>
            </w: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hemólise/toxicidade — veja Ranking / hemólise na bancada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 informado vs calculado</w:t>
            </w:r>
          </w:p>
        </w:tc>
        <w:tc>
          <w:tcPr/>
          <w:p>
            <w:pPr>
              <w:pStyle w:val="Compact"/>
            </w:pPr>
            <w:r>
              <w:t xml:space="preserve">Se você marca “carga manual”, ela prevalece sobre a estimada da sequência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banner-no-banco-vs-fora-do-treino"/>
    <w:p>
      <w:pPr>
        <w:pStyle w:val="Heading3"/>
      </w:pPr>
      <w:r>
        <w:t xml:space="preserve">2.5 Banner “no banco” vs “fora do treino”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banco</w:t>
            </w:r>
          </w:p>
        </w:tc>
        <w:tc>
          <w:tcPr/>
          <w:p>
            <w:pPr>
              <w:pStyle w:val="Compact"/>
            </w:pPr>
            <w:r>
              <w:t xml:space="preserve">Sequência igual a um peptídeo do projeto (ex.: P11 StigA6)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Fora do treino</w:t>
            </w:r>
          </w:p>
        </w:tc>
        <w:tc>
          <w:tcPr/>
          <w:p>
            <w:pPr>
              <w:pStyle w:val="Compact"/>
            </w:pPr>
            <w:r>
              <w:t xml:space="preserve">Sequência nova / mutante — predição por generalização</w:t>
            </w:r>
          </w:p>
        </w:tc>
      </w:tr>
    </w:tbl>
    <w:p>
      <w:pPr>
        <w:pStyle w:val="BodyText"/>
      </w:pPr>
      <w:r>
        <w:t xml:space="preserve">Fora do treino a incerteza costuma ser maior; compare sempre com</w:t>
      </w:r>
      <w:r>
        <w:t xml:space="preserve"> </w:t>
      </w:r>
      <w:r>
        <w:rPr>
          <w:b/>
          <w:bCs/>
        </w:rPr>
        <w:t xml:space="preserve">vizinhos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vizinhos-no-treino"/>
    <w:p>
      <w:pPr>
        <w:pStyle w:val="Heading2"/>
      </w:pPr>
      <w:r>
        <w:t xml:space="preserve">3. Vizinhos no treino</w:t>
      </w:r>
    </w:p>
    <w:p>
      <w:pPr>
        <w:pStyle w:val="FirstParagraph"/>
      </w:pPr>
      <w:r>
        <w:t xml:space="preserve">Lista os peptídeos do conjunto com MIC mais próximos da sequência consultada.</w:t>
      </w:r>
    </w:p>
    <w:p>
      <w:pPr>
        <w:pStyle w:val="BodyText"/>
      </w:pPr>
      <w:r>
        <w:rPr>
          <w:b/>
          <w:bCs/>
        </w:rPr>
        <w:t xml:space="preserve">Score de vizinhança (aproximado):</w:t>
      </w:r>
    </w:p>
    <w:p>
      <w:pPr>
        <w:pStyle w:val="SourceCode"/>
      </w:pPr>
      <w:r>
        <w:rPr>
          <w:rStyle w:val="VerbatimChar"/>
        </w:rPr>
        <w:t xml:space="preserve">neighbor_score = 0,6 · identidade  +  0,4 · cosine_ESM</w:t>
      </w:r>
    </w:p>
    <w:p>
      <w:pPr>
        <w:pStyle w:val="FirstParagraph"/>
      </w:pPr>
      <w:r>
        <w:t xml:space="preserve">(Se não houver embedding, usa só a identidade.)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 típica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Fração de identidades alinhadas no início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neighbor_score</w:t>
            </w:r>
          </w:p>
        </w:tc>
        <w:tc>
          <w:tcPr/>
          <w:p>
            <w:pPr>
              <w:pStyle w:val="Compact"/>
            </w:pPr>
            <w:r>
              <w:t xml:space="preserve">Ranking de similaridade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mic_median_uM</w:t>
            </w:r>
          </w:p>
        </w:tc>
        <w:tc>
          <w:tcPr/>
          <w:p>
            <w:pPr>
              <w:pStyle w:val="Compact"/>
            </w:pPr>
            <w:r>
              <w:t xml:space="preserve">MIC mediana do vizinho em todos os alvos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mic_alvo</w:t>
            </w:r>
          </w:p>
        </w:tc>
        <w:tc>
          <w:tcPr/>
          <w:p>
            <w:pPr>
              <w:pStyle w:val="Compact"/>
            </w:pPr>
            <w:r>
              <w:t xml:space="preserve">MIC do vizinho</w:t>
            </w:r>
            <w:r>
              <w:t xml:space="preserve"> </w:t>
            </w:r>
            <w:r>
              <w:rPr>
                <w:b/>
                <w:bCs/>
              </w:rPr>
              <w:t xml:space="preserve">no mesmo alvo</w:t>
            </w:r>
            <w:r>
              <w:t xml:space="preserve"> </w:t>
            </w:r>
            <w:r>
              <w:t xml:space="preserve">(se existir)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frac_high_activity</w:t>
            </w:r>
          </w:p>
        </w:tc>
        <w:tc>
          <w:tcPr/>
          <w:p>
            <w:pPr>
              <w:pStyle w:val="Compact"/>
            </w:pPr>
            <w:r>
              <w:t xml:space="preserve">Fração dos pares do vizinho com MIC ≤ 3,4 µM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Como usar</w:t>
      </w:r>
    </w:p>
    <w:p>
      <w:pPr>
        <w:pStyle w:val="Compact"/>
        <w:numPr>
          <w:ilvl w:val="0"/>
          <w:numId w:val="1003"/>
        </w:numPr>
      </w:pPr>
      <w:r>
        <w:t xml:space="preserve">Vizinho com identidade alta + MIC baixo no mesmo alvo → a predição fica mais crível.</w:t>
      </w:r>
    </w:p>
    <w:p>
      <w:pPr>
        <w:pStyle w:val="Compact"/>
        <w:numPr>
          <w:ilvl w:val="0"/>
          <w:numId w:val="1003"/>
        </w:numPr>
      </w:pPr>
      <w:r>
        <w:t xml:space="preserve">Vizinho similar mas inativo → desconfie de PMI alto isolado.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b/>
          <w:bCs/>
        </w:rPr>
        <w:t xml:space="preserve">modo Cloud</w:t>
      </w:r>
      <w:r>
        <w:t xml:space="preserve"> </w:t>
      </w:r>
      <w:r>
        <w:t xml:space="preserve">(sem PyTorch), a similaridade por embedding pode ser limitada; identidade de sequência continua disponível.</w:t>
      </w:r>
    </w:p>
    <w:p>
      <w:r>
        <w:pict>
          <v:rect style="width:0;height:1.5pt" o:hralign="center" o:hrstd="t" o:hr="t"/>
        </w:pict>
      </w:r>
    </w:p>
    <w:bookmarkEnd w:id="17"/>
    <w:bookmarkStart w:id="18" w:name="ranking-multi-alvo"/>
    <w:p>
      <w:pPr>
        <w:pStyle w:val="Heading2"/>
      </w:pPr>
      <w:r>
        <w:t xml:space="preserve">4. Ranking multi-alvo</w:t>
      </w:r>
    </w:p>
    <w:p>
      <w:pPr>
        <w:pStyle w:val="FirstParagraph"/>
      </w:pPr>
      <w:r>
        <w:t xml:space="preserve">Para um peptídeo, o sistema prediz vários alvos e ordena por:</w:t>
      </w:r>
    </w:p>
    <w:p>
      <w:pPr>
        <w:pStyle w:val="SourceCode"/>
      </w:pPr>
      <w:r>
        <w:rPr>
          <w:rStyle w:val="VerbatimChar"/>
        </w:rPr>
        <w:t xml:space="preserve">final_score = p_calibrada − λ · p_tox  +  0,1 · max(PMI_sel, 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p_calibrada</w:t>
            </w:r>
          </w:p>
        </w:tc>
        <w:tc>
          <w:tcPr/>
          <w:p>
            <w:pPr>
              <w:pStyle w:val="Compact"/>
            </w:pPr>
            <w:r>
              <w:t xml:space="preserve">Prob. calibrada no alvo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p_tox</w:t>
            </w:r>
          </w:p>
        </w:tc>
        <w:tc>
          <w:tcPr/>
          <w:p>
            <w:pPr>
              <w:pStyle w:val="Compact"/>
            </w:pPr>
            <w:r>
              <w:t xml:space="preserve">Prob. calibrada em</w:t>
            </w:r>
            <w:r>
              <w:t xml:space="preserve"> </w:t>
            </w:r>
            <w:r>
              <w:rPr>
                <w:rStyle w:val="VerbatimChar"/>
              </w:rPr>
              <w:t xml:space="preserve">cell_normal</w:t>
            </w:r>
            <w:r>
              <w:t xml:space="preserve"> </w:t>
            </w:r>
            <w:r>
              <w:t xml:space="preserve">(proxy de toxicidade)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 (lambda)</w:t>
            </w:r>
          </w:p>
        </w:tc>
        <w:tc>
          <w:tcPr/>
          <w:p>
            <w:pPr>
              <w:pStyle w:val="Compact"/>
            </w:pPr>
            <w:r>
              <w:t xml:space="preserve">Slider (padrão 0,5): quanto penalizar toxicidade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PMI_sel</w:t>
            </w:r>
          </w:p>
        </w:tc>
        <w:tc>
          <w:tcPr/>
          <w:p>
            <w:pPr>
              <w:pStyle w:val="Compact"/>
            </w:pPr>
            <w:r>
              <w:t xml:space="preserve">Bônus leve se o PMI for maior no alvo do que na célula normal</w:t>
            </w:r>
          </w:p>
        </w:tc>
      </w:tr>
    </w:tbl>
    <w:p>
      <w:pPr>
        <w:pStyle w:val="BodyText"/>
      </w:pPr>
      <w:r>
        <w:rPr>
          <w:b/>
          <w:bCs/>
        </w:rPr>
        <w:t xml:space="preserve">Leitura</w:t>
      </w:r>
    </w:p>
    <w:p>
      <w:pPr>
        <w:pStyle w:val="Compact"/>
        <w:numPr>
          <w:ilvl w:val="0"/>
          <w:numId w:val="1004"/>
        </w:numPr>
      </w:pPr>
      <w:r>
        <w:t xml:space="preserve">Topo da lista = alvos a testar</w:t>
      </w:r>
      <w:r>
        <w:t xml:space="preserve"> </w:t>
      </w:r>
      <w:r>
        <w:rPr>
          <w:b/>
          <w:bCs/>
        </w:rPr>
        <w:t xml:space="preserve">primeiro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λ alto = mais cautela toxicológica.</w:t>
      </w:r>
    </w:p>
    <w:p>
      <w:pPr>
        <w:pStyle w:val="Compact"/>
        <w:numPr>
          <w:ilvl w:val="0"/>
          <w:numId w:val="1004"/>
        </w:numPr>
      </w:pPr>
      <w:r>
        <w:t xml:space="preserve">λ baixo = prioriza atividade bruta.</w:t>
      </w:r>
    </w:p>
    <w:p>
      <w:r>
        <w:pict>
          <v:rect style="width:0;height:1.5pt" o:hralign="center" o:hrstd="t" o:hr="t"/>
        </w:pict>
      </w:r>
    </w:p>
    <w:bookmarkEnd w:id="18"/>
    <w:bookmarkStart w:id="21" w:name="xai-shap"/>
    <w:p>
      <w:pPr>
        <w:pStyle w:val="Heading2"/>
      </w:pPr>
      <w:r>
        <w:t xml:space="preserve">5. XAI (SHAP)</w:t>
      </w:r>
    </w:p>
    <w:p>
      <w:pPr>
        <w:pStyle w:val="FirstParagraph"/>
      </w:pPr>
      <w:r>
        <w:t xml:space="preserve">SHAP atribui a cada feature uma contribuição para a predição da classe “alta atividade”.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Interpretação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</w:t>
            </w:r>
            <w:r>
              <w:t xml:space="preserve"> </w:t>
            </w:r>
            <w:r>
              <w:rPr>
                <w:b/>
                <w:bCs/>
              </w:rPr>
              <w:t xml:space="preserve">positivo</w:t>
            </w:r>
          </w:p>
        </w:tc>
        <w:tc>
          <w:tcPr/>
          <w:p>
            <w:pPr>
              <w:pStyle w:val="Compact"/>
            </w:pPr>
            <w:r>
              <w:t xml:space="preserve">Empurra a predição</w:t>
            </w:r>
            <w:r>
              <w:t xml:space="preserve"> </w:t>
            </w:r>
            <w:r>
              <w:rPr>
                <w:b/>
                <w:bCs/>
              </w:rPr>
              <w:t xml:space="preserve">para</w:t>
            </w:r>
            <w:r>
              <w:t xml:space="preserve"> </w:t>
            </w:r>
            <w:r>
              <w:t xml:space="preserve">alta atividade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</w:t>
            </w:r>
            <w:r>
              <w:t xml:space="preserve"> </w:t>
            </w:r>
            <w:r>
              <w:rPr>
                <w:b/>
                <w:bCs/>
              </w:rPr>
              <w:t xml:space="preserve">negativo</w:t>
            </w:r>
          </w:p>
        </w:tc>
        <w:tc>
          <w:tcPr/>
          <w:p>
            <w:pPr>
              <w:pStyle w:val="Compact"/>
            </w:pPr>
            <w:r>
              <w:t xml:space="preserve">Empurra</w:t>
            </w:r>
            <w:r>
              <w:t xml:space="preserve"> </w:t>
            </w:r>
            <w:r>
              <w:rPr>
                <w:b/>
                <w:bCs/>
              </w:rPr>
              <w:t xml:space="preserve">contra</w:t>
            </w:r>
            <w:r>
              <w:t xml:space="preserve"> </w:t>
            </w:r>
            <w:r>
              <w:t xml:space="preserve">alta atividade</w:t>
            </w:r>
          </w:p>
        </w:tc>
      </w:tr>
    </w:tbl>
    <w:bookmarkStart w:id="19" w:name="explicação-local"/>
    <w:p>
      <w:pPr>
        <w:pStyle w:val="Heading3"/>
      </w:pPr>
      <w:r>
        <w:t xml:space="preserve">5.1 Explicação local</w:t>
      </w:r>
    </w:p>
    <w:p>
      <w:pPr>
        <w:pStyle w:val="FirstParagraph"/>
      </w:pPr>
      <w:r>
        <w:t xml:space="preserve">Uma barra por feature (carga, PMI, LPS, peptidoglicano, embedding agregado, etc.)</w:t>
      </w:r>
      <w:r>
        <w:t xml:space="preserve"> </w:t>
      </w:r>
      <w:r>
        <w:rPr>
          <w:b/>
          <w:bCs/>
        </w:rPr>
        <w:t xml:space="preserve">nessa</w:t>
      </w:r>
      <w:r>
        <w:t xml:space="preserve"> </w:t>
      </w:r>
      <w:r>
        <w:t xml:space="preserve">sequência × alvo.</w:t>
      </w:r>
    </w:p>
    <w:bookmarkEnd w:id="19"/>
    <w:bookmarkStart w:id="20" w:name="importância-global-beeswarm"/>
    <w:p>
      <w:pPr>
        <w:pStyle w:val="Heading3"/>
      </w:pPr>
      <w:r>
        <w:t xml:space="preserve">5.2 Importância global / beeswarm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Global:</w:t>
      </w:r>
      <w:r>
        <w:t xml:space="preserve"> </w:t>
      </w:r>
      <w:r>
        <w:t xml:space="preserve">média de |SHAP| no treino — quais descritores o modelo mais usa em geral.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Beeswarm:</w:t>
      </w:r>
      <w:r>
        <w:t xml:space="preserve"> </w:t>
      </w:r>
      <w:r>
        <w:t xml:space="preserve">cada ponto = um par MIC do treino; cor ≈ valor do descritor.</w:t>
      </w:r>
    </w:p>
    <w:p>
      <w:pPr>
        <w:pStyle w:val="FirstParagraph"/>
      </w:pPr>
      <w:r>
        <w:rPr>
          <w:b/>
          <w:bCs/>
        </w:rPr>
        <w:t xml:space="preserve">Limite:</w:t>
      </w:r>
      <w:r>
        <w:t xml:space="preserve"> </w:t>
      </w:r>
      <w:r>
        <w:t xml:space="preserve">SHAP explica o</w:t>
      </w:r>
      <w:r>
        <w:t xml:space="preserve"> </w:t>
      </w:r>
      <w:r>
        <w:rPr>
          <w:b/>
          <w:bCs/>
        </w:rPr>
        <w:t xml:space="preserve">modelo</w:t>
      </w:r>
      <w:r>
        <w:t xml:space="preserve">, não prova mecanismo molecular.</w:t>
      </w:r>
    </w:p>
    <w:p>
      <w:pPr>
        <w:pStyle w:val="BodyText"/>
      </w:pPr>
      <w:r>
        <w:t xml:space="preserve">No Cloud leve, beeswarms costumam vir dos PNGs pré-computados; o modelo ativo pode ser só o</w:t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(sem ESM-2).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lote-fasta"/>
    <w:p>
      <w:pPr>
        <w:pStyle w:val="Heading2"/>
      </w:pPr>
      <w:r>
        <w:t xml:space="preserve">6. Lote FASTA</w:t>
      </w:r>
    </w:p>
    <w:p>
      <w:pPr>
        <w:pStyle w:val="FirstParagraph"/>
      </w:pPr>
      <w:r>
        <w:t xml:space="preserve">Ao enviar um</w:t>
      </w:r>
      <w:r>
        <w:t xml:space="preserve"> </w:t>
      </w:r>
      <w:r>
        <w:rPr>
          <w:rStyle w:val="VerbatimChar"/>
        </w:rPr>
        <w:t xml:space="preserve">.fasta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Usar esta sequência</w:t>
      </w:r>
      <w:r>
        <w:t xml:space="preserve"> </w:t>
      </w:r>
      <w:r>
        <w:t xml:space="preserve">— preenche o campo e você prediz um a um.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Predizer todas</w:t>
      </w:r>
      <w:r>
        <w:t xml:space="preserve"> </w:t>
      </w:r>
      <w:r>
        <w:t xml:space="preserve">— tabela com PMI, prob. calibrada, carga e se está no banco; dá para baixar CSV.</w:t>
      </w:r>
    </w:p>
    <w:p>
      <w:pPr>
        <w:pStyle w:val="FirstParagraph"/>
      </w:pPr>
      <w:r>
        <w:t xml:space="preserve">Mesma membrana-alvo e mesma regra de carga para todo o lote.</w:t>
      </w:r>
    </w:p>
    <w:p>
      <w:r>
        <w:pict>
          <v:rect style="width:0;height:1.5pt" o:hralign="center" o:hrstd="t" o:hr="t"/>
        </w:pict>
      </w:r>
    </w:p>
    <w:bookmarkEnd w:id="22"/>
    <w:bookmarkStart w:id="23" w:name="métricas-do-modelo-sidebar-barra"/>
    <w:p>
      <w:pPr>
        <w:pStyle w:val="Heading2"/>
      </w:pPr>
      <w:r>
        <w:t xml:space="preserve">7. Métricas do modelo (sidebar / barra)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MICs no treino</w:t>
            </w:r>
          </w:p>
        </w:tc>
        <w:tc>
          <w:tcPr/>
          <w:p>
            <w:pPr>
              <w:pStyle w:val="Compact"/>
            </w:pPr>
            <w:r>
              <w:t xml:space="preserve">Número de pares com MIC usados no 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 amostra AUC</w:t>
            </w:r>
          </w:p>
        </w:tc>
        <w:tc>
          <w:tcPr/>
          <w:p>
            <w:pPr>
              <w:pStyle w:val="Compact"/>
            </w:pPr>
            <w:r>
              <w:t xml:space="preserve">Leave-one-out</w:t>
            </w:r>
            <w:r>
              <w:t xml:space="preserve"> </w:t>
            </w:r>
            <w:r>
              <w:rPr>
                <w:b/>
                <w:bCs/>
              </w:rPr>
              <w:t xml:space="preserve">por par</w:t>
            </w:r>
            <w:r>
              <w:t xml:space="preserve"> </w:t>
            </w:r>
            <w:r>
              <w:t xml:space="preserve">(otimista se houver análogos)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Leave-peptide AUC</w:t>
            </w:r>
          </w:p>
        </w:tc>
        <w:tc>
          <w:tcPr/>
          <w:p>
            <w:pPr>
              <w:pStyle w:val="Compact"/>
            </w:pPr>
            <w:r>
              <w:t xml:space="preserve">Leave-one-peptide-out (métrica principal de generalização)</w:t>
            </w:r>
          </w:p>
        </w:tc>
      </w:tr>
    </w:tbl>
    <w:p>
      <w:pPr>
        <w:pStyle w:val="BodyText"/>
      </w:pPr>
      <w:r>
        <w:t xml:space="preserve">AUC ~0,8 no LOPO indica discriminação boa, mas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calibração perfeita em cada caso novo — daí o intervalo e os vizinhos.</w:t>
      </w:r>
    </w:p>
    <w:p>
      <w:r>
        <w:pict>
          <v:rect style="width:0;height:1.5pt" o:hralign="center" o:hrstd="t" o:hr="t"/>
        </w:pict>
      </w:r>
    </w:p>
    <w:bookmarkEnd w:id="23"/>
    <w:bookmarkStart w:id="24" w:name="exemplo-completo-de-leitura"/>
    <w:p>
      <w:pPr>
        <w:pStyle w:val="Heading2"/>
      </w:pPr>
      <w:r>
        <w:t xml:space="preserve">8. Exemplo completo de leitura</w:t>
      </w:r>
    </w:p>
    <w:p>
      <w:pPr>
        <w:pStyle w:val="FirstParagraph"/>
      </w:pPr>
      <w:r>
        <w:t xml:space="preserve">Suponha:</w:t>
      </w:r>
    </w:p>
    <w:p>
      <w:pPr>
        <w:pStyle w:val="Compact"/>
        <w:numPr>
          <w:ilvl w:val="0"/>
          <w:numId w:val="1007"/>
        </w:numPr>
      </w:pPr>
      <w:r>
        <w:t xml:space="preserve">PMI =</w:t>
      </w:r>
      <w:r>
        <w:t xml:space="preserve"> </w:t>
      </w:r>
      <w:r>
        <w:rPr>
          <w:b/>
          <w:bCs/>
        </w:rPr>
        <w:t xml:space="preserve">4,636</w:t>
      </w:r>
      <w:r>
        <w:t xml:space="preserve"> </w:t>
      </w:r>
      <w:r>
        <w:t xml:space="preserve">(alto)</w:t>
      </w:r>
    </w:p>
    <w:p>
      <w:pPr>
        <w:pStyle w:val="Compact"/>
        <w:numPr>
          <w:ilvl w:val="0"/>
          <w:numId w:val="1007"/>
        </w:numPr>
      </w:pPr>
      <w:r>
        <w:t xml:space="preserve">Prob. calibrada =</w:t>
      </w:r>
      <w:r>
        <w:t xml:space="preserve"> </w:t>
      </w:r>
      <w:r>
        <w:rPr>
          <w:b/>
          <w:bCs/>
        </w:rPr>
        <w:t xml:space="preserve">31,4%</w:t>
      </w:r>
    </w:p>
    <w:p>
      <w:pPr>
        <w:pStyle w:val="Compact"/>
        <w:numPr>
          <w:ilvl w:val="0"/>
          <w:numId w:val="1007"/>
        </w:numPr>
      </w:pPr>
      <w:r>
        <w:t xml:space="preserve">Intervalo =</w:t>
      </w:r>
      <w:r>
        <w:t xml:space="preserve"> </w:t>
      </w:r>
      <w:r>
        <w:rPr>
          <w:b/>
          <w:bCs/>
        </w:rPr>
        <w:t xml:space="preserve">0–76%</w:t>
      </w:r>
      <w:r>
        <w:t xml:space="preserve">, σ =</w:t>
      </w:r>
      <w:r>
        <w:t xml:space="preserve"> </w:t>
      </w:r>
      <w:r>
        <w:rPr>
          <w:b/>
          <w:bCs/>
        </w:rPr>
        <w:t xml:space="preserve">0,449</w:t>
      </w:r>
    </w:p>
    <w:p>
      <w:pPr>
        <w:pStyle w:val="Compact"/>
        <w:numPr>
          <w:ilvl w:val="0"/>
          <w:numId w:val="1007"/>
        </w:numPr>
      </w:pPr>
      <w:r>
        <w:t xml:space="preserve">q =</w:t>
      </w:r>
      <w:r>
        <w:t xml:space="preserve"> </w:t>
      </w:r>
      <w:r>
        <w:rPr>
          <w:b/>
          <w:bCs/>
        </w:rPr>
        <w:t xml:space="preserve">5,0</w:t>
      </w:r>
    </w:p>
    <w:p>
      <w:pPr>
        <w:pStyle w:val="FirstParagraph"/>
      </w:pPr>
      <w:r>
        <w:rPr>
          <w:b/>
          <w:bCs/>
        </w:rPr>
        <w:t xml:space="preserve">Narrativa sugerida</w:t>
      </w:r>
    </w:p>
    <w:p>
      <w:pPr>
        <w:pStyle w:val="Compact"/>
        <w:numPr>
          <w:ilvl w:val="0"/>
          <w:numId w:val="1008"/>
        </w:numPr>
      </w:pPr>
      <w:r>
        <w:t xml:space="preserve">Fisicamente, o índice PMI sugere interação favorável (carga alta + alvo aniônico).</w:t>
      </w:r>
    </w:p>
    <w:p>
      <w:pPr>
        <w:pStyle w:val="Compact"/>
        <w:numPr>
          <w:ilvl w:val="0"/>
          <w:numId w:val="1008"/>
        </w:numPr>
      </w:pPr>
      <w:r>
        <w:t xml:space="preserve">O classificador, porém, atribui só ~31% de chance de MIC ≤ 3,4 µM →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priorize como “hit” forte.</w:t>
      </w:r>
    </w:p>
    <w:p>
      <w:pPr>
        <w:pStyle w:val="Compact"/>
        <w:numPr>
          <w:ilvl w:val="0"/>
          <w:numId w:val="1008"/>
        </w:numPr>
      </w:pPr>
      <w:r>
        <w:t xml:space="preserve">O intervalo muito largo mostra</w:t>
      </w:r>
      <w:r>
        <w:t xml:space="preserve"> </w:t>
      </w:r>
      <w:r>
        <w:rPr>
          <w:b/>
          <w:bCs/>
        </w:rPr>
        <w:t xml:space="preserve">discordância</w:t>
      </w:r>
      <w:r>
        <w:t xml:space="preserve"> </w:t>
      </w:r>
      <w:r>
        <w:t xml:space="preserve">entre árvores → trate o número com reserva.</w:t>
      </w:r>
    </w:p>
    <w:p>
      <w:pPr>
        <w:pStyle w:val="Compact"/>
        <w:numPr>
          <w:ilvl w:val="0"/>
          <w:numId w:val="1008"/>
        </w:numPr>
      </w:pPr>
      <w:r>
        <w:t xml:space="preserve">Próximos passos: ver vizinhos; olhar Ranking vs</w:t>
      </w:r>
      <w:r>
        <w:t xml:space="preserve"> </w:t>
      </w:r>
      <w:r>
        <w:rPr>
          <w:rStyle w:val="VerbatimChar"/>
        </w:rPr>
        <w:t xml:space="preserve">cell_normal</w:t>
      </w:r>
      <w:r>
        <w:t xml:space="preserve">; se houver interesse, medir MIC e, se possível, hemólise; depois registrar em</w:t>
      </w:r>
      <w:r>
        <w:t xml:space="preserve"> </w:t>
      </w:r>
      <w:r>
        <w:rPr>
          <w:rStyle w:val="VerbatimChar"/>
        </w:rPr>
        <w:t xml:space="preserve">data/bench/mic_bench.csv</w:t>
      </w:r>
      <w:r>
        <w:t xml:space="preserve"> </w:t>
      </w:r>
      <w:r>
        <w:t xml:space="preserve">e retreinar.</w:t>
      </w:r>
    </w:p>
    <w:p>
      <w:r>
        <w:pict>
          <v:rect style="width:0;height:1.5pt" o:hralign="center" o:hrstd="t" o:hr="t"/>
        </w:pict>
      </w:r>
    </w:p>
    <w:bookmarkEnd w:id="24"/>
    <w:bookmarkStart w:id="25" w:name="onde-aprofundar-no-repositório"/>
    <w:p>
      <w:pPr>
        <w:pStyle w:val="Heading2"/>
      </w:pPr>
      <w:r>
        <w:t xml:space="preserve">9. Onde aprofundar no repositório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Arquivo / pasta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Fórmula PMI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scripts/pmi.py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 do RF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pepmem/features.py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Calibração e LOPO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scripts/train_utils.py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scripts/train_baseline.py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Predição e vizinhos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pepmem/predictor.py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Bancada / novos MICs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data/bench/README.md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Cloud vs multimodal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docs/DEPLOY.md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Treino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TREINO.md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hecklist-rápido"/>
    <w:p>
      <w:pPr>
        <w:pStyle w:val="Heading2"/>
      </w:pPr>
      <w:r>
        <w:t xml:space="preserve">10. Checklist rápido</w:t>
      </w:r>
    </w:p>
    <w:p>
      <w:pPr>
        <w:pStyle w:val="Compact"/>
        <w:numPr>
          <w:ilvl w:val="0"/>
          <w:numId w:val="1009"/>
        </w:numPr>
      </w:pPr>
      <w:r>
        <w:t xml:space="preserve">Prob. calibrada na faixa desejada (≥70% para priorizar)?</w:t>
      </w:r>
    </w:p>
    <w:p>
      <w:pPr>
        <w:pStyle w:val="Compact"/>
        <w:numPr>
          <w:ilvl w:val="0"/>
          <w:numId w:val="1010"/>
        </w:numPr>
      </w:pPr>
      <w:r>
        <w:t xml:space="preserve">Intervalo estreito o bastante para confiar?</w:t>
      </w:r>
    </w:p>
    <w:p>
      <w:pPr>
        <w:pStyle w:val="Compact"/>
        <w:numPr>
          <w:ilvl w:val="0"/>
          <w:numId w:val="1011"/>
        </w:numPr>
      </w:pPr>
      <w:r>
        <w:t xml:space="preserve">PMI e PMI_sel coerentes com o alvo?</w:t>
      </w:r>
    </w:p>
    <w:p>
      <w:pPr>
        <w:pStyle w:val="Compact"/>
        <w:numPr>
          <w:ilvl w:val="0"/>
          <w:numId w:val="1012"/>
        </w:numPr>
      </w:pPr>
      <w:r>
        <w:t xml:space="preserve">Vizinhos com MIC favorável no mesmo alvo?</w:t>
      </w:r>
    </w:p>
    <w:p>
      <w:pPr>
        <w:pStyle w:val="Compact"/>
        <w:numPr>
          <w:ilvl w:val="0"/>
          <w:numId w:val="1013"/>
        </w:numPr>
      </w:pPr>
      <w:r>
        <w:t xml:space="preserve">Ranking não sugere toxicidade alta em célula normal?</w:t>
      </w:r>
    </w:p>
    <w:p>
      <w:pPr>
        <w:pStyle w:val="Compact"/>
        <w:numPr>
          <w:ilvl w:val="0"/>
          <w:numId w:val="1014"/>
        </w:numPr>
      </w:pPr>
      <w:r>
        <w:t xml:space="preserve">Resultado será confirmado in vitro antes de concluir?</w:t>
      </w:r>
    </w:p>
    <w:p>
      <w:pPr>
        <w:pStyle w:val="FirstParagraph"/>
      </w:pPr>
      <w:r>
        <w:t xml:space="preserve">Se alguma resposta for “não”, o resultado ainda pode ser útil como</w:t>
      </w:r>
      <w:r>
        <w:t xml:space="preserve"> </w:t>
      </w:r>
      <w:r>
        <w:rPr>
          <w:b/>
          <w:bCs/>
        </w:rPr>
        <w:t xml:space="preserve">hipótese</w:t>
      </w:r>
      <w:r>
        <w:t xml:space="preserve">, não como decisão final.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TREIN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TREIN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INTERPRETACAO_RESULTADOS</dc:title>
  <dc:creator/>
  <cp:keywords/>
  <dcterms:created xsi:type="dcterms:W3CDTF">2026-07-29T00:53:02Z</dcterms:created>
  <dcterms:modified xsi:type="dcterms:W3CDTF">2026-07-29T00:53:02Z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