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6"/>
        </w:rPr>
        <w:t>Peptídeos antimicrobianos derivados de Tityus stigmurus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Documento consolidado — características físico-químicas, atividade antimicrobiana e mapa de estudos do grupo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0"/>
        </w:rPr>
        <w:t>Este arquivo une (1) a tabela de propriedades físico-químicas e MICs experimentais e (2) a matriz de cobertura dos ensaios realizados pelo grupo até 2026. Origem: merge dos documentos «Características fisico-químicas e atividade antimicrobiana peptídeos» e «PEPTÍDEOS ANTIMICROBIANOS DERIVADOS DO TYTIUS STIGMURUS».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0000" cy="1266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yus_im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266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sz w:val="18"/>
        </w:rPr>
        <w:t>Tityus stigmurus (foto do documento de cobertura do grupo).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18"/>
        </w:rPr>
        <w:t>Nota: análogos descritos no programa do grupo incluem StigA1–StigA31 (31 análogos da Stigmurina) e TsAP-A1–TsAP-A40 (40 análogos do TsAP-2). Abaixo constam apenas os peptídeos com dados físico-químicos/MIC tabulados e/ou marcados na matriz de estudos.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1. Características físico-químicas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0"/>
        </w:rPr>
        <w:t>Peptídeos sintetizados com C-terminal amidado (-NH₂). Conteúdo helicoidal (%) calculado por dicroísmo circular em ambiente mimético de membrana (SDS 20 mM).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58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Peptídeo</w:t>
            </w:r>
          </w:p>
        </w:tc>
        <w:tc>
          <w:tcPr>
            <w:tcW w:type="dxa" w:w="2381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Sequência (amidada)</w:t>
            </w:r>
          </w:p>
        </w:tc>
        <w:tc>
          <w:tcPr>
            <w:tcW w:type="dxa" w:w="624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Carga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µH</w:t>
            </w:r>
          </w:p>
        </w:tc>
        <w:tc>
          <w:tcPr>
            <w:tcW w:type="dxa" w:w="680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pI</w:t>
            </w:r>
          </w:p>
        </w:tc>
        <w:tc>
          <w:tcPr>
            <w:tcW w:type="dxa" w:w="90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Massa (Da)</w:t>
            </w:r>
          </w:p>
        </w:tc>
        <w:tc>
          <w:tcPr>
            <w:tcW w:type="dxa" w:w="73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Hélice (%)</w:t>
            </w:r>
          </w:p>
        </w:tc>
        <w:tc>
          <w:tcPr>
            <w:tcW w:type="dxa" w:w="1814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Referência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Stigmurin (nativo)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FFSLIPSLVGGLISAFK-NH2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+2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0,57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8,75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1.795,2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Amorim-Carmo et al., 2019</w:t>
            </w:r>
          </w:p>
        </w:tc>
      </w:tr>
      <w:tr>
        <w:tc>
          <w:tcPr>
            <w:tcW w:type="dxa" w:w="158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StigA6</w:t>
            </w:r>
          </w:p>
        </w:tc>
        <w:tc>
          <w:tcPr>
            <w:tcW w:type="dxa" w:w="238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FFSLIPKLVKGLISAFK-NH2</w:t>
            </w:r>
          </w:p>
        </w:tc>
        <w:tc>
          <w:tcPr>
            <w:tcW w:type="dxa" w:w="62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+4</w:t>
            </w:r>
          </w:p>
        </w:tc>
        <w:tc>
          <w:tcPr>
            <w:tcW w:type="dxa" w:w="56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0,67</w:t>
            </w:r>
          </w:p>
        </w:tc>
        <w:tc>
          <w:tcPr>
            <w:tcW w:type="dxa" w:w="680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10,30*</w:t>
            </w:r>
          </w:p>
        </w:tc>
        <w:tc>
          <w:tcPr>
            <w:tcW w:type="dxa" w:w="90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1.907,4</w:t>
            </w:r>
          </w:p>
        </w:tc>
        <w:tc>
          <w:tcPr>
            <w:tcW w:type="dxa" w:w="73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66,6</w:t>
            </w:r>
          </w:p>
        </w:tc>
        <w:tc>
          <w:tcPr>
            <w:tcW w:type="dxa" w:w="181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Parente et al., 2018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StigA8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FFSLIPKLVGKLISAFK-NH2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+4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0,65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10,30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1.907,4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Furtado et al., 2022</w:t>
            </w:r>
          </w:p>
        </w:tc>
      </w:tr>
      <w:tr>
        <w:tc>
          <w:tcPr>
            <w:tcW w:type="dxa" w:w="158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StigA16</w:t>
            </w:r>
          </w:p>
        </w:tc>
        <w:tc>
          <w:tcPr>
            <w:tcW w:type="dxa" w:w="238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FFKLIPKLVKGLISAFK-NH2</w:t>
            </w:r>
          </w:p>
        </w:tc>
        <w:tc>
          <w:tcPr>
            <w:tcW w:type="dxa" w:w="62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+5</w:t>
            </w:r>
          </w:p>
        </w:tc>
        <w:tc>
          <w:tcPr>
            <w:tcW w:type="dxa" w:w="56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0,72</w:t>
            </w:r>
          </w:p>
        </w:tc>
        <w:tc>
          <w:tcPr>
            <w:tcW w:type="dxa" w:w="680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10,48</w:t>
            </w:r>
          </w:p>
        </w:tc>
        <w:tc>
          <w:tcPr>
            <w:tcW w:type="dxa" w:w="90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1.949,5</w:t>
            </w:r>
          </w:p>
        </w:tc>
        <w:tc>
          <w:tcPr>
            <w:tcW w:type="dxa" w:w="73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58,8</w:t>
            </w:r>
          </w:p>
        </w:tc>
        <w:tc>
          <w:tcPr>
            <w:tcW w:type="dxa" w:w="181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Parente et al., 2018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StigA18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FFSLIPKLVGKLIKAFK-NH2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0,70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1.949,5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Furtado et al., 2022</w:t>
            </w:r>
          </w:p>
        </w:tc>
      </w:tr>
      <w:tr>
        <w:tc>
          <w:tcPr>
            <w:tcW w:type="dxa" w:w="158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StigA25</w:t>
            </w:r>
          </w:p>
        </w:tc>
        <w:tc>
          <w:tcPr>
            <w:tcW w:type="dxa" w:w="238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FFSLIPSLVKKLIKAFK-NH2</w:t>
            </w:r>
          </w:p>
        </w:tc>
        <w:tc>
          <w:tcPr>
            <w:tcW w:type="dxa" w:w="62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+5</w:t>
            </w:r>
          </w:p>
        </w:tc>
        <w:tc>
          <w:tcPr>
            <w:tcW w:type="dxa" w:w="56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0,70</w:t>
            </w:r>
          </w:p>
        </w:tc>
        <w:tc>
          <w:tcPr>
            <w:tcW w:type="dxa" w:w="680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10,48</w:t>
            </w:r>
          </w:p>
        </w:tc>
        <w:tc>
          <w:tcPr>
            <w:tcW w:type="dxa" w:w="90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1.979,5</w:t>
            </w:r>
          </w:p>
        </w:tc>
        <w:tc>
          <w:tcPr>
            <w:tcW w:type="dxa" w:w="73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81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Amorim-Carmo et al., 2019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StigA31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FFKLIPKLVKKLIKAFK-NH2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0,80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2.061,7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Amorim-Carmo et al., 2019</w:t>
            </w:r>
          </w:p>
        </w:tc>
      </w:tr>
      <w:tr>
        <w:tc>
          <w:tcPr>
            <w:tcW w:type="dxa" w:w="158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 (nativo)</w:t>
            </w:r>
          </w:p>
        </w:tc>
        <w:tc>
          <w:tcPr>
            <w:tcW w:type="dxa" w:w="238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FLGMIPGLIGGLISAFK-NH2</w:t>
            </w:r>
          </w:p>
        </w:tc>
        <w:tc>
          <w:tcPr>
            <w:tcW w:type="dxa" w:w="62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+2</w:t>
            </w:r>
          </w:p>
        </w:tc>
        <w:tc>
          <w:tcPr>
            <w:tcW w:type="dxa" w:w="56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0,59</w:t>
            </w:r>
          </w:p>
        </w:tc>
        <w:tc>
          <w:tcPr>
            <w:tcW w:type="dxa" w:w="680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8,75</w:t>
            </w:r>
          </w:p>
        </w:tc>
        <w:tc>
          <w:tcPr>
            <w:tcW w:type="dxa" w:w="90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1.733,2</w:t>
            </w:r>
          </w:p>
        </w:tc>
        <w:tc>
          <w:tcPr>
            <w:tcW w:type="dxa" w:w="73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59,8</w:t>
            </w:r>
          </w:p>
        </w:tc>
        <w:tc>
          <w:tcPr>
            <w:tcW w:type="dxa" w:w="181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Daniele-Silva et al., 2016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TsAP-2-A16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FLRMIPGLIRGLIRAFR-NH2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0,75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12,48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2.029,5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 Costa et al., 2025</w:t>
            </w:r>
          </w:p>
        </w:tc>
      </w:tr>
      <w:tr>
        <w:tc>
          <w:tcPr>
            <w:tcW w:type="dxa" w:w="158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TsAP-2-A41</w:t>
            </w:r>
          </w:p>
        </w:tc>
        <w:tc>
          <w:tcPr>
            <w:tcW w:type="dxa" w:w="238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FLKMIPRLIKRLISAFK-NH2</w:t>
            </w:r>
          </w:p>
        </w:tc>
        <w:tc>
          <w:tcPr>
            <w:tcW w:type="dxa" w:w="62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+6</w:t>
            </w:r>
          </w:p>
        </w:tc>
        <w:tc>
          <w:tcPr>
            <w:tcW w:type="dxa" w:w="56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0,77</w:t>
            </w:r>
          </w:p>
        </w:tc>
        <w:tc>
          <w:tcPr>
            <w:tcW w:type="dxa" w:w="680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12,02</w:t>
            </w:r>
          </w:p>
        </w:tc>
        <w:tc>
          <w:tcPr>
            <w:tcW w:type="dxa" w:w="90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2.074,7</w:t>
            </w:r>
          </w:p>
        </w:tc>
        <w:tc>
          <w:tcPr>
            <w:tcW w:type="dxa" w:w="73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1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 Costa et al., 2025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i/>
          <w:sz w:val="16"/>
        </w:rPr>
        <w:t>*pI de StigA6: no material de origem constava «1,30» (provável erro tipográfico); aqui corrigido para 10,30 por coerência com StigA8 e demais análogos catiônicos.</w:t>
      </w:r>
    </w:p>
    <w:p>
      <w:pPr>
        <w:spacing w:after="120" w:before="0"/>
      </w:pPr>
      <w:r>
        <w:rPr>
          <w:rFonts w:ascii="Calibri" w:hAnsi="Calibri" w:eastAsia="Calibri"/>
          <w:b w:val="0"/>
          <w:i/>
          <w:sz w:val="16"/>
        </w:rPr>
        <w:t>µH = momento hidrofóbico. Massa em daltons (formato brasileiro).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2. Atividade antimicrobiana (MIC, µM) — cepas ATCC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0"/>
        </w:rPr>
        <w:t>MIC: menor concentração capaz de inibir o crescimento visível após incubação (tipicamente 18–24 h, 35 ± 2 °C). NT = não testado; «&gt;» = sem inibição até o limiar indicado; «—» = dado ausente na tabela de origem.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Peptídeo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S. aureus</w:t>
              <w:br/>
              <w:t>29213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S. epid.</w:t>
              <w:br/>
              <w:t>12228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E. faec.</w:t>
              <w:br/>
              <w:t>29212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E. coli</w:t>
              <w:br/>
              <w:t>25922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E. cloac.</w:t>
              <w:br/>
              <w:t>13047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P. aerug.</w:t>
              <w:br/>
              <w:t>27853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C. alb.</w:t>
              <w:br/>
              <w:t>90028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C. glab.</w:t>
              <w:br/>
              <w:t>90030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C. krusei</w:t>
              <w:br/>
              <w:t>6258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B. cereus</w:t>
              <w:br/>
              <w:t>11778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K. pneum.</w:t>
              <w:br/>
              <w:t>23357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C. freund.</w:t>
              <w:br/>
              <w:t>8090</w:t>
            </w:r>
          </w:p>
        </w:tc>
        <w:tc>
          <w:tcPr>
            <w:tcW w:type="dxa" w:w="712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Referência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Stigmurin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9,40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9,40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&gt;150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&gt;150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&gt;150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&gt;150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37,5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&gt;150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&gt;150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Amorim-Carmo/Parente/Daniele-Silva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StigA6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1,17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1,17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4,69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18,75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9,38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9,38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18,75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37,5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Parente et al., 2018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StigA8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1,17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4,68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Furtado et al., 2022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StigA16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1,17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1,17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9,38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1,37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4,69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9,38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9,38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Parente et al., 2018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StigA18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1,17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2,34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9,37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Furtado et al., 2022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StigA25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1,20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4,7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18,8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4,70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9,40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9,40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9,40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Amorim-Carmo et al., 2019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StigA31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1,2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1,20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4,70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2,30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4,70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4,70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4,70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Amorim-Carmo et al., 2019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9,98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9,00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20,2*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&gt;160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&gt;160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18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144,25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Daniele-Silva; Da Costa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TsAP-2-A16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2,51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2,51*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2,51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2,51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4,97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Daniele-Silva; Da Costa 2025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TsAP-2-A41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2,56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5,12*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2,56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5,12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10,2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Daniele-Silva; Da Costa 2025</w:t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i/>
          <w:sz w:val="16"/>
        </w:rPr>
        <w:t>*Para E. faecalis nos ensaios de TsAP-2/análogos, a origem cita ATCC 29212 (padrão CLSI). Na série Stigmurina/StigA algumas tabelas citam «4028»; aqui padronizado para ATCC 29212 quando o valor numérico estava presente.</w:t>
      </w:r>
    </w:p>
    <w:p>
      <w:pPr>
        <w:pStyle w:val="Heading2"/>
      </w:pPr>
      <w:r>
        <w:rPr>
          <w:rFonts w:ascii="Calibri" w:hAnsi="Calibri" w:eastAsia="Calibri"/>
          <w:b/>
          <w:i w:val="0"/>
          <w:sz w:val="26"/>
        </w:rPr>
        <w:t>2.1 Isolados clínicos — S. aureus (UFPEDA)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Peptídeo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UFPEDA 1051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UFPEDA 1058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UFPEDA 1059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Referência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24,98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24,98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21,96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Daniele-Silva et al., 2025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TsAP-2-A16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2,51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 Costa et al., 2025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TsAP-2-A41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2,50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 Costa et al., 2025</w:t>
            </w:r>
          </w:p>
        </w:tc>
      </w:tr>
      <w:tr>
        <w:tc>
          <w:tcPr>
            <w:tcW w:type="dxa" w:w="170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StigA8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1,87</w:t>
            </w:r>
          </w:p>
        </w:tc>
        <w:tc>
          <w:tcPr>
            <w:tcW w:type="dxa" w:w="1417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Furtado et al., 2022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StigA18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1,87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NT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Furtado et al., 2022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3. Mapa de estudos do grupo (até 2026)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0"/>
        </w:rPr>
        <w:t>Legenda: ■ = ensaios/abordagens já realizados para aquele peptídeo. Peptídeos adicionais nesta matriz (sem MIC na seção 2): StigA15, TanP e TisTH.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Ensaio / abordagem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Stigmurina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StigA6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StigA8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StigA15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StigA16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StigA18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StigA25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StigA31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TsAP-2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TsAP-2-A16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TsAP-2-A41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TanP</w:t>
            </w:r>
          </w:p>
        </w:tc>
        <w:tc>
          <w:tcPr>
            <w:tcW w:type="dxa" w:w="712"/>
            <w:shd w:fill="0D47A1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TisTH</w:t>
            </w:r>
          </w:p>
        </w:tc>
      </w:tr>
      <w:tr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Caracterização estrutural</w:t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Modelagem molecular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Dicroísmo circular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RMN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Segurança</w:t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Células normais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Hemáceas humanas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Larvas (in vivo)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Antimicrobiano in silico</w:t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Bactérias Gram + (in silico)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Bactérias Gram − (in silico)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Atividades in vitro</w:t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Bactérias Gram +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Bactérias Gram −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Bactérias hospitalares MDR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Biofilme bacteriano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Sinergismo com antibióticos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Fungos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Biofilme fúngico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Parasita (Trypanosoma)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Células cancerígenas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Antioxidante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Quelante de metais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Anticoagulante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Anti-inflamatória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Efeito vasorelaxante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</w:tr>
      <w:tr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  <w:t>Atividades in vivo</w:t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  <w:tc>
          <w:tcPr>
            <w:tcW w:type="dxa" w:w="712"/>
            <w:shd w:fill="D9E2F3" w:val="clear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Infecção de larvas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Sepse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Feridas limpas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  <w:tr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Feridas infectadas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■</w:t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  <w:tc>
          <w:tcPr>
            <w:tcW w:type="dxa" w:w="71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</w:r>
          </w:p>
        </w:tc>
      </w:tr>
    </w:tbl>
    <w:p>
      <w:pPr>
        <w:spacing w:after="120" w:before="0"/>
      </w:pPr>
      <w:r>
        <w:rPr>
          <w:rFonts w:ascii="Calibri" w:hAnsi="Calibri" w:eastAsia="Calibri"/>
          <w:b w:val="0"/>
          <w:i/>
          <w:sz w:val="18"/>
        </w:rPr>
        <w:t>Peptídeos nativos da peçonha: Stigmurina, TsAP-2, TanP e TisTH. Demais colunas = análogos sintéticos.</w:t>
      </w:r>
    </w:p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4. Cruzamento rápido (PepMem / consolidação)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Peptídeo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Físico-química + MIC (seç. 1–2)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Na matriz de estudos (seç. 3)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Stigmurin / StigA6/8/16/18/25/31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Dados numéricos e cobertura alinhados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TsAP-2 / A16 / A41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Dados numéricos e cobertura alinhados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StigA15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Não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Prioridade para extrair sequência/MIC das refs</w:t>
            </w:r>
          </w:p>
        </w:tc>
      </w:tr>
      <w:tr>
        <w:tc>
          <w:tcPr>
            <w:tcW w:type="dxa" w:w="2551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TanP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Não</w:t>
            </w:r>
          </w:p>
        </w:tc>
        <w:tc>
          <w:tcPr>
            <w:tcW w:type="dxa" w:w="1984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2835"/>
            <w:shd w:fill="F2F2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Atividades distintas (quelante, antioxidante, etc.)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TisTH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Não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Sim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sz w:val="16"/>
              </w:rPr>
              <w:t>Antifúngico / anti-inflamatório / vasorelaxante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i w:val="0"/>
          <w:sz w:val="32"/>
        </w:rPr>
        <w:t>5. Referências (unificadas)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AMORIM-CARMO, Bruno et al. Potent and Broad-Spectrum Antimicrobial Activity of Analogs from the Scorpion Peptide Stigmurin. International Journal of Molecular Sciences, v. 20, n. 3, p. 623, jan. 2019.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BRAZ, Raiça Dominique Mariana Gomes da Costa et al. In silico and in vitro characterization of the antibacterial effects of two novel synthetic peptides derived from TsAP-2. Biochemical Pharmacology, v. 243, p. 117525, 1 jan. 2026.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DANIELE-SILVA, Alessandra et al. Stigmurin and TsAP-2 from Tityus stigmurus scorpion venom: Assessment of structure and therapeutic potential in experimental sepsis. Toxicon, v. 121, p. 10–21, 1 out. 2016.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DANIELE-SILVA, Alessandra et al. NMR three-dimensional structure of the cationic peptide Stigmurin from Tityus stigmurus scorpion venom: In vitro antioxidant and in vivo antibacterial and healing activity. Peptides, v. 137, p. 170478, 1 mar. 2021.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DANIELE-SILVA, Alessandra et al. In vitro and in vivo antibacterial activity of TsAP-2 from Tityus stigmurus scorpion venom in multidrug-resistant strains and its NMR three-dimensional structure. Biochimie, v. 238, p. 58–76, 1 nov. 2025.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FURTADO, Allanny Alves et al. In silico and in vitro structure-stability-function relationship of analog peptides of Stigmurin and its antibacterial and antibiofilm activities. Pharmacological Research, p. 106245, 5 maio 2022.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MACHADO, Richele J. A. et al. Homology modeling, vasorelaxant and bradykinin-potentiating activities of a novel hypotensin found in the scorpion venom from Tityus stigmurus. Toxicon, v. 101, p. 11–18, jul. 2015.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MACHADO, Richele J. A. et al. Characterization of TistH, a multifunctional peptide from the scorpion Tityus stigmurus: Structure, cytotoxicity and antimicrobial activity. Toxicon, v. 119, p. 362–370, 1 set. 2016.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MELO, Menilla M. A. et al. Structure and in vitro activities of a Copper II-chelating anionic peptide from the venom of the scorpion Tityus stigmurus. Peptides, v. 94, p. 91–98, 1 ago. 2017.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PARENTE, Adriana M. S. et al. Analogs of the Scorpion Venom Peptide Stigmurin: Structural Assessment, Toxicity, and Increased Antimicrobial Activity. Toxins, v. 10, n. 4, p. 161, abr. 2018.</w:t>
      </w:r>
    </w:p>
    <w:p>
      <w:pPr>
        <w:spacing w:after="80"/>
        <w:ind w:left="283" w:hanging="283"/>
      </w:pPr>
      <w:r>
        <w:rPr>
          <w:rFonts w:ascii="Calibri" w:hAnsi="Calibri" w:eastAsia="Calibri"/>
          <w:b w:val="0"/>
          <w:i w:val="0"/>
          <w:sz w:val="18"/>
        </w:rPr>
        <w:t>TORRES-RÊGO, Manoela et al. Biodegradable cross-linked chitosan nanoparticles improve anti-Candida and anti-biofilm activity of TistH, a peptide identified in the venom gland of the Tityus stigmurus scorpion. Materials Science and Engineering: C, v. 103, p. 109830, 1 out. 2019.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i/>
          <w:sz w:val="16"/>
        </w:rPr>
        <w:t>Documento gerado automaticamente para PepMem-AI / InovAI Lab — UFRN.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