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24"/>
        </w:rPr>
        <w:t>FUNDAÇÃO OSWALDO CRUZ — FIOCRUZ</w:t>
      </w:r>
    </w:p>
    <w:p>
      <w:pPr>
        <w:jc w:val="center"/>
      </w:pPr>
      <w:r>
        <w:rPr>
          <w:b w:val="0"/>
          <w:color w:val="555555"/>
          <w:sz w:val="22"/>
        </w:rPr>
        <w:t>Vice-Presidência de Pesquisa e Coleções Biológicas (VPPCB)</w:t>
      </w:r>
    </w:p>
    <w:p>
      <w:pPr>
        <w:jc w:val="center"/>
      </w:pPr>
      <w:r>
        <w:rPr>
          <w:b w:val="0"/>
          <w:color w:val="555555"/>
          <w:sz w:val="22"/>
        </w:rPr>
        <w:t>Instituto Aggeu Magalhães — Fiocruz Pernambuco</w:t>
      </w:r>
    </w:p>
    <w:p>
      <w:pPr>
        <w:jc w:val="center"/>
      </w:pPr>
      <w:r>
        <w:rPr>
          <w:b w:val="0"/>
          <w:color w:val="555555"/>
          <w:sz w:val="22"/>
        </w:rPr>
        <w:t>Projeto de Pesquisa — vinculado ao Edital de Pós-Doutorado Júnior (PDJ) 2026</w:t>
      </w:r>
    </w:p>
    <w:p/>
    <w:p/>
    <w:p>
      <w:pPr>
        <w:jc w:val="center"/>
      </w:pPr>
      <w:r>
        <w:rPr>
          <w:b/>
          <w:color w:val="1F3964"/>
          <w:sz w:val="32"/>
        </w:rPr>
        <w:t>PROJETO DE PESQUISA DO(A) SUPERVISOR(A)</w:t>
      </w:r>
    </w:p>
    <w:p>
      <w:pPr>
        <w:jc w:val="center"/>
      </w:pPr>
      <w:r>
        <w:rPr>
          <w:b/>
          <w:i/>
          <w:sz w:val="28"/>
        </w:rPr>
        <w:t>GenVig-IA — Vigilância Genômica Integrada e Inteligência Computacional para Caracterização Molecular e Predição de Risco de Vírus Emergentes e Zoonóticos de Importância em Saúde Pública no Brasil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Coordenador(a) / Supervisor(a)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Túlio Campos [confirmar nome completo e titulação]</w:t>
            </w:r>
          </w:p>
        </w:tc>
      </w:tr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Unidade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Instituto Aggeu Magalhães (IAM) — Fiocruz Pernambuco</w:t>
            </w:r>
          </w:p>
        </w:tc>
      </w:tr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Laboratório / Núcleo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Núcleo de Bioinformática (NBI) [confirmar]</w:t>
            </w:r>
          </w:p>
        </w:tc>
      </w:tr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Grande área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Ciências Biológicas / Bioinformática / Saúde Coletiva</w:t>
            </w:r>
          </w:p>
        </w:tc>
      </w:tr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Linha de pesquisa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Vigilância genômica, epidemiologia molecular e IA aplicada à saúde</w:t>
            </w:r>
          </w:p>
        </w:tc>
      </w:tr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Subprojeto PDJ vinculado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JEPA-Spillover — candidato Gabriel Bezerra Motta Câmara</w:t>
            </w:r>
          </w:p>
        </w:tc>
      </w:tr>
      <w:tr>
        <w:tc>
          <w:tcPr>
            <w:tcW w:type="dxa" w:w="3118"/>
            <w:shd w:val="clear" w:color="auto" w:fill="EDF1F7"/>
          </w:tcPr>
          <w:p>
            <w:r>
              <w:rPr>
                <w:b/>
                <w:sz w:val="20"/>
              </w:rPr>
              <w:t>Duração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36 meses (subprojeto PDJ: 12 meses, renovável)</w:t>
            </w:r>
          </w:p>
        </w:tc>
      </w:tr>
    </w:tbl>
    <w:p/>
    <w:p>
      <w:pPr>
        <w:jc w:val="center"/>
      </w:pPr>
      <w:r>
        <w:rPr>
          <w:i/>
          <w:color w:val="555555"/>
          <w:sz w:val="17"/>
        </w:rPr>
        <w:t>Documento de trabalho, redigido como projeto guarda-chuva plausível para contextualizar o subprojeto de PDJ. Ajustar nomes, titulação e dados institucionais (campos entre [ ]) antes da submissão.</w:t>
      </w:r>
    </w:p>
    <w:p>
      <w:r>
        <w:br w:type="page"/>
      </w:r>
    </w:p>
    <w:p>
      <w:pPr>
        <w:pStyle w:val="Heading1"/>
      </w:pPr>
      <w:r>
        <w:rPr>
          <w:color w:val="1F3964"/>
          <w:sz w:val="28"/>
        </w:rPr>
        <w:t>1. Resumo</w:t>
      </w:r>
    </w:p>
    <w:p>
      <w:pPr>
        <w:jc w:val="both"/>
      </w:pPr>
      <w:r>
        <w:rPr>
          <w:b w:val="0"/>
          <w:i w:val="0"/>
          <w:sz w:val="22"/>
        </w:rPr>
        <w:t>As doenças infecciosas emergentes e reemergentes — em especial as de origem viral e potencial zoonótico — representam uma ameaça crescente à saúde pública global e brasileira, como evidenciado pelas epidemias de Zika e chikungunya no Nordeste, pela emergência do Oropouche e pela pandemia de COVID-19. O barateamento do sequenciamento de nova geração (NGS) e a expansão das redes de vigilância genômica produziram um volume sem precedentes de genomas virais, mas a capacidade de análise, integração e, sobretudo, de predição de risco não acompanhou esse crescimento. Este projeto propõe uma plataforma integrada de bioinformática e inteligência computacional para caracterização molecular, monitoramento filodinâmico e predição de risco de vírus de importância em saúde pública, articulando dados genômicos, de hospedeiros e ecológicos. O projeto organiza-se em quatro eixos — (i) aquisição e curadoria de dados, (ii) caracterização molecular e filogenética/filodinâmica, (iii) modelagem computacional e aprendizado de máquina para predição de risco zoonótico e (iv) integração com a vigilância e disseminação. O eixo (iii) é desenvolvido, no âmbito do Pós-Doutorado Júnior, pelo subprojeto JEPA-Spillover, que aplica redes de arquitetura preditiva em espaço latente (JEPA) para priorizar vírus com maior potencial de transbordamento antes da ocorrência de surtos. Espera-se entregar uma infraestrutura analítica aberta e reprodutível, com impacto direto para a capacidade de resposta do Sistema Único de Saúde (SUS).</w:t>
      </w:r>
    </w:p>
    <w:p>
      <w:pPr>
        <w:pStyle w:val="Heading1"/>
      </w:pPr>
      <w:r>
        <w:rPr>
          <w:color w:val="1F3964"/>
          <w:sz w:val="28"/>
        </w:rPr>
        <w:t>2. Introdução e justificativa</w:t>
      </w:r>
    </w:p>
    <w:p>
      <w:pPr>
        <w:pStyle w:val="Heading2"/>
      </w:pPr>
      <w:r>
        <w:rPr>
          <w:color w:val="1F3964"/>
          <w:sz w:val="24"/>
        </w:rPr>
        <w:t>2.1. Relevância científica</w:t>
      </w:r>
    </w:p>
    <w:p>
      <w:pPr>
        <w:jc w:val="both"/>
      </w:pPr>
      <w:r>
        <w:rPr>
          <w:b w:val="0"/>
          <w:i w:val="0"/>
          <w:sz w:val="22"/>
        </w:rPr>
        <w:t>Estima-se que a maioria das doenças infecciosas emergentes em humanos tenha origem zoonótica, e que exista um vasto 'espaço viral' ainda não caracterizado em reservatórios animais. A vigilância genômica tornou-se ferramenta central para detectar e caracterizar esses agentes, mas enfrenta dois gargalos científicos. Primeiro, a análise filogenética e filodinâmica clássica descreve o passado da transmissão, porém tem poder limitado para antecipar quais vírus, entre os milhares recém-descritos por metagenômica, têm maior probabilidade de infectar humanos. Segundo, os métodos supervisionados de predição de risco dependem de rótulos de zoonose escassos e enviesados — a ausência de registro de infecção humana frequentemente reflete falta de estudo, e não ausência de risco. Há, portanto, uma lacuna metodológica clara: são necessárias abordagens capazes de aprender, de forma pouco supervisionada, representações funcionais dos genomas virais que capturem compatibilidade com hospedeiros. Avanços recentes em aprendizado auto-supervisionado — em particular as arquiteturas preditivas em espaço latente (JEPA) — abrem uma via promissora e ainda inexplorada nesse domínio.</w:t>
      </w:r>
    </w:p>
    <w:p>
      <w:pPr>
        <w:pStyle w:val="Heading2"/>
      </w:pPr>
      <w:r>
        <w:rPr>
          <w:color w:val="1F3964"/>
          <w:sz w:val="24"/>
        </w:rPr>
        <w:t>2.2. Relevância para o SUS e para a sociedade</w:t>
      </w:r>
    </w:p>
    <w:p>
      <w:pPr>
        <w:jc w:val="both"/>
      </w:pPr>
      <w:r>
        <w:rPr>
          <w:b w:val="0"/>
          <w:i w:val="0"/>
          <w:sz w:val="22"/>
        </w:rPr>
        <w:t>O Brasil convive com uma carga elevada e recorrente de arboviroses (dengue, Zika, chikungunya, Oropouche, febre amarela) e com o risco permanente de introdução e emergência de novos patógenos. O Nordeste, região de atuação do Instituto Aggeu Magalhães, foi o epicentro da epidemia de Zika e da síndrome congênita associada, expondo a necessidade de capacidade local de resposta rápida. Este projeto contribui diretamente para o SUS ao fortalecer a vigilância genômica regional, gerar conhecimento acionável sobre patógenos circulantes e desenvolver uma camada de inteligência preditiva que amplia a janela de antecipação a surtos. A proposta é explicitamente complementar — e não concorrente — a sistemas consolidados de monitoramento em tempo real, como o InfoDengue e o InfoGripe, atuando na etapa anterior de priorização de ameaças ainda não caracterizadas. Ao produzir ferramentas abertas, reprodutíveis e adaptadas ao contexto nacional, o projeto reforça a soberania tecnológica em saúde e a formação de recursos humanos qualificados, alinhando-se à missão institucional da Fiocruz e às diretrizes de fortalecimento da vigilância genômica pós-COVID-19.</w:t>
      </w:r>
    </w:p>
    <w:p>
      <w:pPr>
        <w:pStyle w:val="Heading1"/>
      </w:pPr>
      <w:r>
        <w:rPr>
          <w:color w:val="1F3964"/>
          <w:sz w:val="28"/>
        </w:rPr>
        <w:t>3. Objetivos</w:t>
      </w:r>
    </w:p>
    <w:p>
      <w:pPr>
        <w:pStyle w:val="Heading2"/>
      </w:pPr>
      <w:r>
        <w:rPr>
          <w:color w:val="1F3964"/>
          <w:sz w:val="24"/>
        </w:rPr>
        <w:t>3.1. Objetivo geral</w:t>
      </w:r>
    </w:p>
    <w:p>
      <w:pPr>
        <w:jc w:val="both"/>
      </w:pPr>
      <w:r>
        <w:rPr>
          <w:b w:val="0"/>
          <w:i w:val="0"/>
          <w:sz w:val="22"/>
        </w:rPr>
        <w:t>Desenvolver e consolidar uma plataforma integrada de bioinformática e inteligência computacional para caracterização molecular, monitoramento e predição de risco de vírus emergentes e zoonóticos de importância em saúde pública, com aplicação ao contexto brasileiro e integração às redes de vigilância do SUS.</w:t>
      </w:r>
    </w:p>
    <w:p>
      <w:pPr>
        <w:pStyle w:val="Heading2"/>
      </w:pPr>
      <w:r>
        <w:rPr>
          <w:color w:val="1F3964"/>
          <w:sz w:val="24"/>
        </w:rPr>
        <w:t>3.2. Objetivos específicos</w:t>
      </w:r>
    </w:p>
    <w:p>
      <w:pPr>
        <w:pStyle w:val="ListBullet"/>
      </w:pPr>
      <w:r>
        <w:rPr>
          <w:sz w:val="22"/>
        </w:rPr>
        <w:t>Estruturar um fluxo automatizado de aquisição e curadoria de genomas virais e metadados de hospedeiro, taxonomia e ecologia a partir de bases públicas e de redes de vigilância.</w:t>
      </w:r>
    </w:p>
    <w:p>
      <w:pPr>
        <w:pStyle w:val="ListBullet"/>
      </w:pPr>
      <w:r>
        <w:rPr>
          <w:sz w:val="22"/>
        </w:rPr>
        <w:t>Caracterizar molecularmente e reconstruir a filogenia e a filodinâmica de vírus prioritários circulantes no Brasil, com ênfase em arbovírus e vírus respiratórios.</w:t>
      </w:r>
    </w:p>
    <w:p>
      <w:pPr>
        <w:pStyle w:val="ListBullet"/>
      </w:pPr>
      <w:r>
        <w:rPr>
          <w:b/>
          <w:sz w:val="22"/>
        </w:rPr>
        <w:t xml:space="preserve">(*) </w:t>
      </w:r>
      <w:r>
        <w:rPr>
          <w:sz w:val="22"/>
        </w:rPr>
        <w:t>Desenvolver métodos de aprendizado de máquina auto-supervisionado (redes JEPA) para aprender representações latentes de genomas virais e priorizar vírus com potencial de transbordamento zoonótico.</w:t>
      </w:r>
    </w:p>
    <w:p>
      <w:pPr>
        <w:pStyle w:val="ListBullet"/>
      </w:pPr>
      <w:r>
        <w:rPr>
          <w:sz w:val="22"/>
        </w:rPr>
        <w:t>Integrar os resultados de priorização à vigilância genômica e epidemiológica, propondo mecanismos de articulação com sistemas como InfoDengue/InfoGripe.</w:t>
      </w:r>
    </w:p>
    <w:p>
      <w:pPr>
        <w:pStyle w:val="ListBullet"/>
      </w:pPr>
      <w:r>
        <w:rPr>
          <w:sz w:val="22"/>
        </w:rPr>
        <w:t>Formar recursos humanos e disponibilizar código, modelos e documentação de forma aberta e reprodutível, fortalecendo a capacidade analítica institucional.</w:t>
      </w:r>
    </w:p>
    <w:p>
      <w:pPr>
        <w:jc w:val="both"/>
      </w:pPr>
      <w:r>
        <w:rPr>
          <w:b w:val="0"/>
          <w:i/>
          <w:color w:val="555555"/>
          <w:sz w:val="19"/>
        </w:rPr>
        <w:t>(*) Objetivo específico desenvolvido, no âmbito do Pós-Doutorado Júnior, pelo subprojeto JEPA-Spillover (candidato Gabriel Bezerra Motta Câmara).</w:t>
      </w:r>
    </w:p>
    <w:p>
      <w:pPr>
        <w:pStyle w:val="Heading1"/>
      </w:pPr>
      <w:r>
        <w:rPr>
          <w:color w:val="1F3964"/>
          <w:sz w:val="28"/>
        </w:rPr>
        <w:t>4. Desenho e abordagem teórico-metodológica</w:t>
      </w:r>
    </w:p>
    <w:p>
      <w:pPr>
        <w:jc w:val="both"/>
      </w:pPr>
      <w:r>
        <w:rPr>
          <w:b w:val="0"/>
          <w:i w:val="0"/>
          <w:sz w:val="22"/>
        </w:rPr>
        <w:t>O projeto adota um desenho modular em quatro eixos interdependentes, combinando bioinformática genômica clássica, epidemiologia molecular e aprendizado de máquina. A abordagem prioriza reprodutibilidade (fluxos versionados, ambientes declarados, seeds fixas) e ciência aberta.</w:t>
      </w:r>
    </w:p>
    <w:p>
      <w:pPr>
        <w:pStyle w:val="Heading2"/>
      </w:pPr>
      <w:r>
        <w:rPr>
          <w:color w:val="1F3964"/>
          <w:sz w:val="24"/>
        </w:rPr>
        <w:t>Eixo 1 — Aquisição e curadoria de dados</w:t>
      </w:r>
    </w:p>
    <w:p>
      <w:pPr>
        <w:jc w:val="both"/>
      </w:pPr>
      <w:r>
        <w:rPr>
          <w:b w:val="0"/>
          <w:i w:val="0"/>
          <w:sz w:val="22"/>
        </w:rPr>
        <w:t>Coleta automatizada de sequências e metadados de bases públicas (NCBI Virus/Entrez, BV-BRC/ViPR, VirusHostDB, NCBI Taxonomy, ICTV) e de dados de acesso controlado (GISAID: EpiCoV, EpiArbo, EpiNiV), mediante credenciamento institucional. Curadoria com controle de qualidade (comprimento, bases ambíguas), remoção de duplicatas, padronização taxonômica e integração de metadados de hospedeiro e interações vírus-hospedeiro (IntAct/EMBL-EBI).</w:t>
      </w:r>
    </w:p>
    <w:p>
      <w:pPr>
        <w:pStyle w:val="Heading2"/>
      </w:pPr>
      <w:r>
        <w:rPr>
          <w:color w:val="1F3964"/>
          <w:sz w:val="24"/>
        </w:rPr>
        <w:t>Eixo 2 — Caracterização molecular, filogenia e filodinâmica</w:t>
      </w:r>
    </w:p>
    <w:p>
      <w:pPr>
        <w:jc w:val="both"/>
      </w:pPr>
      <w:r>
        <w:rPr>
          <w:b w:val="0"/>
          <w:i w:val="0"/>
          <w:sz w:val="22"/>
        </w:rPr>
        <w:t>Montagem e anotação de genomas, alinhamentos, inferência filogenética (máxima verossimilhança e abordagens bayesianas) e análise filodinâmica para reconstruir introduções, dispersão e dinâmica temporal de vírus prioritários, com ênfase em arbovírus e vírus respiratórios circulantes no Brasil. Uso de fluxos padronizados do tipo Nextstrain para visualização e compartilhamento.</w:t>
      </w:r>
    </w:p>
    <w:p>
      <w:pPr>
        <w:pStyle w:val="Heading2"/>
      </w:pPr>
      <w:r>
        <w:rPr>
          <w:color w:val="1F3964"/>
          <w:sz w:val="24"/>
        </w:rPr>
        <w:t>Eixo 3 — Modelagem computacional e IA (subprojeto JEPA-Spillover)</w:t>
      </w:r>
    </w:p>
    <w:p>
      <w:pPr>
        <w:jc w:val="both"/>
      </w:pPr>
      <w:r>
        <w:rPr>
          <w:b w:val="0"/>
          <w:i w:val="0"/>
          <w:sz w:val="22"/>
        </w:rPr>
        <w:t>Desenvolvimento de representações genômicas (k-mers, embeddings) e de uma arquitetura JEPA genômica que aprende, sem reconstrução literal de nucleotídeos e com baixa dependência de rótulos, a prever embeddings de regiões mascaradas do genoma. Extensão vírus-hospedeiro para aprender compatibilidades latentes (incluindo Homo sapiens) e fine-tuning supervisionado para risco de spillover, validado com particionamento estratificado por família e holdout de famílias inteiras. Geração de um ranking de vírus prioritários combinando proximidade latente a zoonóticos conhecidos e probabilidade supervisionada. Este eixo constitui o subprojeto de PDJ.</w:t>
      </w:r>
    </w:p>
    <w:p>
      <w:pPr>
        <w:pStyle w:val="Heading2"/>
      </w:pPr>
      <w:r>
        <w:rPr>
          <w:color w:val="1F3964"/>
          <w:sz w:val="24"/>
        </w:rPr>
        <w:t>Eixo 4 — Integração com a vigilância e disseminação</w:t>
      </w:r>
    </w:p>
    <w:p>
      <w:pPr>
        <w:jc w:val="both"/>
      </w:pPr>
      <w:r>
        <w:rPr>
          <w:b w:val="0"/>
          <w:i w:val="0"/>
          <w:sz w:val="22"/>
        </w:rPr>
        <w:t>Tradução dos resultados para uso em vigilância: painéis interativos, rankings de priorização e proposta de mecanismos de integração com sistemas de monitoramento (InfoDengue/InfoGripe) e redes genômicas da Fiocruz. Disseminação via repositórios públicos, manuscritos, material didático e capacitação de equipes.</w:t>
      </w:r>
    </w:p>
    <w:p>
      <w:pPr>
        <w:pStyle w:val="Heading1"/>
      </w:pPr>
      <w:r>
        <w:rPr>
          <w:color w:val="1F3964"/>
          <w:sz w:val="28"/>
        </w:rPr>
        <w:t>5. Articulação com o subprojeto JEPA-Spillover</w:t>
      </w:r>
    </w:p>
    <w:p>
      <w:pPr>
        <w:jc w:val="both"/>
      </w:pPr>
      <w:r>
        <w:rPr>
          <w:b w:val="0"/>
          <w:i w:val="0"/>
          <w:sz w:val="22"/>
        </w:rPr>
        <w:t>O subprojeto de Pós-Doutorado Júnior JEPA-Spillover materializa o Eixo 3 deste projeto. Enquanto o projeto guarda-chuva provê o contexto biológico, os dados curados (Eixo 1) e a caracterização molecular/filodinâmica (Eixo 2), o subprojeto aporta a inovação metodológica em inteligência artificial: a primeira aplicação, ao domínio de vigilância genômica de vírus de RNA, das arquiteturas preditivas em espaço latente (JEPA). A expertise do candidato em aprendizado de máquina e desenvolvimento de software reprodutível complementa diretamente a competência do grupo em biologia molecular e epidemiologia genômica, criando sinergia com potencial de publicações conjuntas, captação de novos financiamentos e consolidação de uma linha de pesquisa em IA aplicada à saúde no IAM. Os produtos do subprojeto (embeddings, modelos, rankings) retroalimentam os Eixos 2 e 4, fechando o ciclo entre caracterização, predição e vigilância.</w:t>
      </w:r>
    </w:p>
    <w:p>
      <w:pPr>
        <w:pStyle w:val="Heading1"/>
      </w:pPr>
      <w:r>
        <w:rPr>
          <w:color w:val="1F3964"/>
          <w:sz w:val="28"/>
        </w:rPr>
        <w:t>6. Resultados esperados e impacto</w:t>
      </w:r>
    </w:p>
    <w:p>
      <w:pPr>
        <w:pStyle w:val="ListBullet"/>
      </w:pPr>
      <w:r>
        <w:rPr>
          <w:sz w:val="22"/>
        </w:rPr>
        <w:t>Banco integrado, curado e documentado de genomas virais e metadados, reutilizável pela instituição.</w:t>
      </w:r>
    </w:p>
    <w:p>
      <w:pPr>
        <w:pStyle w:val="ListBullet"/>
      </w:pPr>
      <w:r>
        <w:rPr>
          <w:sz w:val="22"/>
        </w:rPr>
        <w:t>Caracterização molecular e filodinâmica de vírus prioritários circulantes no Brasil.</w:t>
      </w:r>
    </w:p>
    <w:p>
      <w:pPr>
        <w:pStyle w:val="ListBullet"/>
      </w:pPr>
      <w:r>
        <w:rPr>
          <w:sz w:val="22"/>
        </w:rPr>
        <w:t>Modelo JEPA genômico e classificador de risco de spillover, com ranking de vírus prioritários para vigilância.</w:t>
      </w:r>
    </w:p>
    <w:p>
      <w:pPr>
        <w:pStyle w:val="ListBullet"/>
      </w:pPr>
      <w:r>
        <w:rPr>
          <w:sz w:val="22"/>
        </w:rPr>
        <w:t>Plataforma/painel aberto e reprodutível, com proposta de integração à vigilância (InfoDengue/InfoGripe).</w:t>
      </w:r>
    </w:p>
    <w:p>
      <w:pPr>
        <w:pStyle w:val="ListBullet"/>
      </w:pPr>
      <w:r>
        <w:rPr>
          <w:sz w:val="22"/>
        </w:rPr>
        <w:t>Publicações científicas, material didático em português e capacitação de recursos humanos em IA aplicada à saúde.</w:t>
      </w:r>
    </w:p>
    <w:p>
      <w:pPr>
        <w:pStyle w:val="ListBullet"/>
      </w:pPr>
      <w:r>
        <w:rPr>
          <w:sz w:val="22"/>
        </w:rPr>
        <w:t>Fortalecimento da capacidade analítica e da competitividade do IAM/Fiocruz em editais nacionais e internacionais.</w:t>
      </w:r>
    </w:p>
    <w:p>
      <w:pPr>
        <w:pStyle w:val="Heading1"/>
      </w:pPr>
      <w:r>
        <w:rPr>
          <w:color w:val="1F3964"/>
          <w:sz w:val="28"/>
        </w:rPr>
        <w:t>7. Infraestrutura disponível</w:t>
      </w:r>
    </w:p>
    <w:p>
      <w:pPr>
        <w:jc w:val="both"/>
      </w:pPr>
      <w:r>
        <w:rPr>
          <w:b w:val="0"/>
          <w:i w:val="0"/>
          <w:sz w:val="22"/>
        </w:rPr>
        <w:t>O projeto é conduzido no Instituto Aggeu Magalhães (Fiocruz-PE), que dispõe de infraestrutura de bioinformática e computação científica, incluindo servidores e recursos de processamento (CPU/GPU) para análises genômicas e treinamento de modelos de aprendizado profundo, além de acesso às redes e plataformas de vigilância genômica da Fiocruz. O grupo conta com experiência consolidada em análise de dados de sequenciamento e epidemiologia molecular, e com credenciamento institucional para bases de acesso controlado (GISAID). A componente de IA (subprojeto) utiliza estação com GPU e publicação aberta de código e modelos (GitHub, Hugging Face). [Detalhar equipamentos, servidores/HPC e espaço físico específicos do NBI/IAM.]</w:t>
      </w:r>
    </w:p>
    <w:p>
      <w:pPr>
        <w:pStyle w:val="Heading1"/>
      </w:pPr>
      <w:r>
        <w:rPr>
          <w:color w:val="1F3964"/>
          <w:sz w:val="28"/>
        </w:rPr>
        <w:t>8. Cronograma (36 meses)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"/>
            <w:shd w:val="clear" w:color="auto" w:fill="1F3964"/>
          </w:tcPr>
          <w:p>
            <w:r>
              <w:rPr>
                <w:b/>
                <w:color w:val="FFFFFF"/>
                <w:sz w:val="19"/>
              </w:rPr>
              <w:t>Fase</w:t>
            </w:r>
          </w:p>
        </w:tc>
        <w:tc>
          <w:tcPr>
            <w:tcW w:type="dxa" w:w="5329"/>
            <w:shd w:val="clear" w:color="auto" w:fill="1F3964"/>
          </w:tcPr>
          <w:p>
            <w:r>
              <w:rPr>
                <w:b/>
                <w:color w:val="FFFFFF"/>
                <w:sz w:val="19"/>
              </w:rPr>
              <w:t>Atividades</w:t>
            </w:r>
          </w:p>
        </w:tc>
        <w:tc>
          <w:tcPr>
            <w:tcW w:type="dxa" w:w="1928"/>
            <w:shd w:val="clear" w:color="auto" w:fill="1F3964"/>
          </w:tcPr>
          <w:p>
            <w:r>
              <w:rPr>
                <w:b/>
                <w:color w:val="FFFFFF"/>
                <w:sz w:val="19"/>
              </w:rPr>
              <w:t>Período</w:t>
            </w:r>
          </w:p>
        </w:tc>
        <w:tc>
          <w:tcPr>
            <w:tcW w:type="dxa" w:w="907"/>
            <w:shd w:val="clear" w:color="auto" w:fill="1F3964"/>
          </w:tcPr>
          <w:p>
            <w:r>
              <w:rPr>
                <w:b/>
                <w:color w:val="FFFFFF"/>
                <w:sz w:val="19"/>
              </w:rPr>
              <w:t>Eixo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Estruturação do fluxo de dados; curadoria e banco integrado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Meses 1–6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Caracterização molecular, filogenia e filodinâmica de vírus prioritários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Meses 4–18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Representações, JEPA genômica e extensão vírus-hospedeiro (PDJ)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Meses 7–18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Fine-tuning de risco, validação e ranking de priorização (PDJ)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Meses 13–24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Integração com vigilância; painéis e proposta de articulação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Meses 19–30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5329"/>
          </w:tcPr>
          <w:p>
            <w:r>
              <w:rPr>
                <w:sz w:val="18"/>
              </w:rPr>
              <w:t>Disseminação: manuscritos, material didático, capacitação, relatório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Meses 25–36</w:t>
            </w:r>
          </w:p>
        </w:tc>
        <w:tc>
          <w:tcPr>
            <w:tcW w:type="dxa" w:w="907"/>
          </w:tcPr>
          <w:p>
            <w:r>
              <w:rPr>
                <w:sz w:val="18"/>
              </w:rPr>
              <w:t>4</w:t>
            </w:r>
          </w:p>
        </w:tc>
      </w:tr>
    </w:tbl>
    <w:p>
      <w:pPr>
        <w:jc w:val="both"/>
      </w:pPr>
      <w:r>
        <w:rPr>
          <w:b w:val="0"/>
          <w:i w:val="0"/>
          <w:sz w:val="20"/>
        </w:rPr>
        <w:t>O subprojeto de Pós-Doutorado Júnior (JEPA-Spillover) concentra-se nas Fases 3 e 4 (Eixo 3), com vigência inicial de 12 meses, renovável, e é plenamente exequível dentro desse período — parte substancial da infraestrutura de software já se encontra implementada em fase de prova de conceito.</w:t>
      </w:r>
    </w:p>
    <w:p>
      <w:pPr>
        <w:pStyle w:val="Heading1"/>
      </w:pPr>
      <w:r>
        <w:rPr>
          <w:color w:val="1F3964"/>
          <w:sz w:val="28"/>
        </w:rPr>
        <w:t>9. Equipe e colaborações</w:t>
      </w:r>
    </w:p>
    <w:p>
      <w:pPr>
        <w:pStyle w:val="ListBullet"/>
      </w:pPr>
      <w:r>
        <w:rPr>
          <w:b/>
          <w:sz w:val="22"/>
        </w:rPr>
        <w:t xml:space="preserve">Supervisor: </w:t>
      </w:r>
      <w:r>
        <w:rPr>
          <w:sz w:val="22"/>
        </w:rPr>
        <w:t>Túlio Campos [confirmar] — coordenação, bioinformática e epidemiologia molecular (IAM/Fiocruz).</w:t>
      </w:r>
    </w:p>
    <w:p>
      <w:pPr>
        <w:pStyle w:val="ListBullet"/>
      </w:pPr>
      <w:r>
        <w:rPr>
          <w:b/>
          <w:sz w:val="22"/>
        </w:rPr>
        <w:t xml:space="preserve">Bolsista PDJ: </w:t>
      </w:r>
      <w:r>
        <w:rPr>
          <w:sz w:val="22"/>
        </w:rPr>
        <w:t>Gabriel Bezerra Motta Câmara — modelagem computacional e IA (subprojeto JEPA-Spillover).</w:t>
      </w:r>
    </w:p>
    <w:p>
      <w:pPr>
        <w:pStyle w:val="ListBullet"/>
      </w:pPr>
      <w:r>
        <w:rPr>
          <w:b/>
          <w:sz w:val="22"/>
        </w:rPr>
        <w:t xml:space="preserve">Equipe: </w:t>
      </w:r>
      <w:r>
        <w:rPr>
          <w:sz w:val="22"/>
        </w:rPr>
        <w:t>[Demais membros do Núcleo de Bioinformática e colaboradores do IAM].</w:t>
      </w:r>
    </w:p>
    <w:p>
      <w:pPr>
        <w:pStyle w:val="ListBullet"/>
      </w:pPr>
      <w:r>
        <w:rPr>
          <w:b/>
          <w:sz w:val="22"/>
        </w:rPr>
        <w:t xml:space="preserve">Colaborações: </w:t>
      </w:r>
      <w:r>
        <w:rPr>
          <w:sz w:val="22"/>
        </w:rPr>
        <w:t>[Redes de vigilância genômica da Fiocruz; colaborações nacionais e internacionais].</w:t>
      </w:r>
    </w:p>
    <w:p>
      <w:pPr>
        <w:pStyle w:val="Heading1"/>
      </w:pPr>
      <w:r>
        <w:rPr>
          <w:color w:val="1F3964"/>
          <w:sz w:val="28"/>
        </w:rPr>
        <w:t>10. Referências selecionadas</w:t>
      </w:r>
    </w:p>
    <w:p>
      <w:pPr>
        <w:jc w:val="both"/>
      </w:pPr>
      <w:r>
        <w:rPr>
          <w:sz w:val="19"/>
        </w:rPr>
        <w:t>[1] LeCun, Y. A Path Towards Autonomous Machine Intelligence. Open Review, 2022.</w:t>
      </w:r>
    </w:p>
    <w:p>
      <w:pPr>
        <w:jc w:val="both"/>
      </w:pPr>
      <w:r>
        <w:rPr>
          <w:sz w:val="19"/>
        </w:rPr>
        <w:t>[2] Assran, M. et al. Self-Supervised Learning from Images with a Joint-Embedding Predictive Architecture (I-JEPA). CVPR, 2023.</w:t>
      </w:r>
    </w:p>
    <w:p>
      <w:pPr>
        <w:jc w:val="both"/>
      </w:pPr>
      <w:r>
        <w:rPr>
          <w:sz w:val="19"/>
        </w:rPr>
        <w:t>[3] Carroll, D. et al. The Global Virome Project. Science, 2018.</w:t>
      </w:r>
    </w:p>
    <w:p>
      <w:pPr>
        <w:jc w:val="both"/>
      </w:pPr>
      <w:r>
        <w:rPr>
          <w:sz w:val="19"/>
        </w:rPr>
        <w:t>[4] Mollentze, N.; Streicker, D. G. et al. Identifying and prioritizing potential human-infecting viruses from their genome sequences. PLoS Biology, 2021.</w:t>
      </w:r>
    </w:p>
    <w:p>
      <w:pPr>
        <w:jc w:val="both"/>
      </w:pPr>
      <w:r>
        <w:rPr>
          <w:sz w:val="19"/>
        </w:rPr>
        <w:t>[5] Hadfield, J. et al. Nextstrain: real-time tracking of pathogen evolution. Bioinformatics, 2018.</w:t>
      </w:r>
    </w:p>
    <w:p>
      <w:pPr>
        <w:jc w:val="both"/>
      </w:pPr>
      <w:r>
        <w:rPr>
          <w:sz w:val="19"/>
        </w:rPr>
        <w:t>[6] Faria, N. R. et al. Genomic and epidemiological monitoring of arboviruses (Zika/dengue) in Brazil. Science, 2016/2017.</w:t>
      </w:r>
    </w:p>
    <w:p>
      <w:pPr>
        <w:jc w:val="both"/>
      </w:pPr>
      <w:r>
        <w:rPr>
          <w:sz w:val="19"/>
        </w:rPr>
        <w:t>[7] Codeço, C. T. et al. InfoDengue: sistema de alerta de arboviroses. Fiocruz.</w:t>
      </w:r>
    </w:p>
    <w:p>
      <w:pPr>
        <w:jc w:val="both"/>
      </w:pPr>
      <w:r>
        <w:rPr>
          <w:sz w:val="19"/>
        </w:rPr>
        <w:t>[8] Mihara, T. et al. Virus-Host Database (VHDB). Viruses, 2016.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Projeto do(a) Supervisor(a) — PDJ · Instituto Aggeu Magalhães / Fiocruz PE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