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DA49EA">
      <w:pPr>
        <w:pStyle w:val="15"/>
      </w:pPr>
      <w:r>
        <w:t>SwiftPay UX Capstone</w:t>
      </w:r>
    </w:p>
    <w:p w14:paraId="7686006C">
      <w:pPr>
        <w:pStyle w:val="3"/>
        <w:spacing w:after="400"/>
      </w:pPr>
      <w:r>
        <w:t>Business Suit: Consultative Proposal &amp; Data Privacy Audit</w:t>
      </w:r>
    </w:p>
    <w:p w14:paraId="572AEE8B">
      <w:pPr>
        <w:pStyle w:val="2"/>
        <w:spacing w:before="200" w:after="200"/>
      </w:pPr>
      <w:r>
        <w:t>Consultative Proposal</w:t>
      </w:r>
    </w:p>
    <w:p w14:paraId="7DA77180">
      <w:r>
        <w:rPr>
          <w:b/>
          <w:bCs/>
        </w:rPr>
        <w:t xml:space="preserve">Prepared for: </w:t>
      </w:r>
      <w:r>
        <w:t>SwiftPay Product Team</w:t>
      </w:r>
    </w:p>
    <w:p w14:paraId="30A7F9B1">
      <w:pPr>
        <w:spacing w:after="300"/>
      </w:pPr>
      <w:r>
        <w:rPr>
          <w:b/>
          <w:bCs/>
        </w:rPr>
        <w:t xml:space="preserve">Prepared by: </w:t>
      </w:r>
      <w:r>
        <w:rPr>
          <w:rFonts w:hint="default"/>
          <w:lang w:val="en-US"/>
        </w:rPr>
        <w:t>Gboh-Igbara D. C</w:t>
      </w:r>
      <w:r>
        <w:t>harles, UI/UX Designer</w:t>
      </w:r>
    </w:p>
    <w:p w14:paraId="133F9878">
      <w:pPr>
        <w:pStyle w:val="3"/>
      </w:pPr>
      <w:r>
        <w:t>1. Assessment</w:t>
      </w:r>
      <w:bookmarkStart w:id="0" w:name="_GoBack"/>
      <w:bookmarkEnd w:id="0"/>
    </w:p>
    <w:p w14:paraId="667D6232">
      <w:pPr>
        <w:spacing w:after="200"/>
      </w:pPr>
      <w:r>
        <w:t>SwiftPay is currently experiencing a 60% user drop-off rate, concentrated around three points in the core journey: account login, the home dashboard, and the money-transfer flow. For a fintech product, this pattern points to a trust deficit rather than a purely usability problem — users are hesitating to share sensitive information and move money through an interface that does not yet reassure them at the moments that matter most.</w:t>
      </w:r>
    </w:p>
    <w:p w14:paraId="793F8BA9">
      <w:pPr>
        <w:spacing w:after="300"/>
      </w:pPr>
      <w:r>
        <w:t>This is a significant business risk: every abandoned session is a lost user acquisition cost, and in financial services, an early bad experience is unlikely to get a second chance.</w:t>
      </w:r>
    </w:p>
    <w:p w14:paraId="199B9241">
      <w:pPr>
        <w:pStyle w:val="3"/>
      </w:pPr>
      <w:r>
        <w:t>2. Insight</w:t>
      </w:r>
    </w:p>
    <w:p w14:paraId="5911AEB3">
      <w:pPr>
        <w:spacing w:after="150"/>
      </w:pPr>
      <w:r>
        <w:t>Using an AI-assisted UX audit and persona exercise (see Engine Room documentation), three specific friction points were identified:</w:t>
      </w:r>
    </w:p>
    <w:p w14:paraId="007389E8">
      <w:pPr>
        <w:pStyle w:val="16"/>
        <w:numPr>
          <w:ilvl w:val="0"/>
          <w:numId w:val="1"/>
        </w:numPr>
        <w:spacing w:after="100"/>
      </w:pPr>
      <w:r>
        <w:t>Login: Users are asked for identity verification with no explanation, triggering suspicion before they even reach the product.</w:t>
      </w:r>
    </w:p>
    <w:p w14:paraId="6A31AD58">
      <w:pPr>
        <w:pStyle w:val="16"/>
        <w:numPr>
          <w:ilvl w:val="0"/>
          <w:numId w:val="1"/>
        </w:numPr>
        <w:spacing w:after="100"/>
      </w:pPr>
      <w:r>
        <w:t>Home: Account balances and activity are displayed with no visible security cues, leaving users uncertain whether their session is protected.</w:t>
      </w:r>
    </w:p>
    <w:p w14:paraId="2E6AEC11">
      <w:pPr>
        <w:pStyle w:val="16"/>
        <w:numPr>
          <w:ilvl w:val="0"/>
          <w:numId w:val="1"/>
        </w:numPr>
        <w:spacing w:after="100"/>
      </w:pPr>
      <w:r>
        <w:t>Transaction: Money transfers have no confirmation step or fee transparency before the action is final, creating fear of irreversible mistakes.</w:t>
      </w:r>
    </w:p>
    <w:p w14:paraId="40F68299">
      <w:pPr>
        <w:spacing w:before="150" w:after="300"/>
      </w:pPr>
      <w:r>
        <w:t>Each of these maps directly onto recognized usability heuristics (visibility of system status, error prevention) and — more importantly for a fintech product — onto the specific psychological drivers of financial trust.</w:t>
      </w:r>
    </w:p>
    <w:p w14:paraId="0AC6F698">
      <w:pPr>
        <w:pStyle w:val="3"/>
      </w:pPr>
      <w:r>
        <w:t>3. Plan</w:t>
      </w:r>
    </w:p>
    <w:p w14:paraId="1F4FA7A4">
      <w:pPr>
        <w:spacing w:after="150"/>
      </w:pPr>
      <w:r>
        <w:t>The proposed redesign addresses all three friction points with targeted, low-lift changes rather than a full rebuild:</w:t>
      </w:r>
    </w:p>
    <w:p w14:paraId="04667DE4">
      <w:pPr>
        <w:pStyle w:val="16"/>
        <w:numPr>
          <w:ilvl w:val="0"/>
          <w:numId w:val="1"/>
        </w:numPr>
        <w:spacing w:after="100"/>
      </w:pPr>
      <w:r>
        <w:t>Login: Added contextual reassurance copy and an end-to-end encryption notice directly beneath the sign-in field.</w:t>
      </w:r>
    </w:p>
    <w:p w14:paraId="11B60822">
      <w:pPr>
        <w:pStyle w:val="16"/>
        <w:numPr>
          <w:ilvl w:val="0"/>
          <w:numId w:val="1"/>
        </w:numPr>
        <w:spacing w:after="100"/>
      </w:pPr>
      <w:r>
        <w:t>Home: Added a “Last login” timestamp and location line, and reframed the dashboard around a clear Available Balance and Recent Transactions view.</w:t>
      </w:r>
    </w:p>
    <w:p w14:paraId="35E75CFE">
      <w:pPr>
        <w:pStyle w:val="16"/>
        <w:numPr>
          <w:ilvl w:val="0"/>
          <w:numId w:val="1"/>
        </w:numPr>
        <w:spacing w:after="100"/>
      </w:pPr>
      <w:r>
        <w:t>Transaction: Added a full cost breakdown (amount, fee, total) and a visible encryption/protection notice before the final Confirm &amp; Send action.</w:t>
      </w:r>
    </w:p>
    <w:p w14:paraId="2E3DC71D">
      <w:pPr>
        <w:spacing w:before="150" w:after="400"/>
      </w:pPr>
      <w:r>
        <w:t>Deliverables: three high-fidelity prototype screens (Login, Home, Transaction), a documented AI-assisted research process, and this proposal. Expected outcome: a measurable reduction in drop-off at each of the three friction points, validated through a follow-up usability test once implemented.</w:t>
      </w:r>
    </w:p>
    <w:p w14:paraId="64E4C6E3">
      <w:pPr>
        <w:pStyle w:val="2"/>
        <w:spacing w:before="200" w:after="200"/>
      </w:pPr>
      <w:r>
        <w:t>Data Privacy Audit</w:t>
      </w:r>
    </w:p>
    <w:p w14:paraId="7FF12F70">
      <w:pPr>
        <w:spacing w:after="300"/>
      </w:pPr>
      <w:r>
        <w:t>As a fintech product handling sensitive financial and personal data, SwiftPay's interface was designed with privacy-by-design principles in mind, in line with global data protection standards (including NDPR and GDPR-aligned practices). The table below summarizes how sensitive data is handled across the redesigned screens.</w:t>
      </w:r>
    </w:p>
    <w:tbl>
      <w:tblPr>
        <w:tblStyle w:val="9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600"/>
        <w:gridCol w:w="4000"/>
      </w:tblGrid>
      <w:tr w14:paraId="040E9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1A56DB"/>
          </w:tcPr>
          <w:p w14:paraId="232A6433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2600" w:type="dxa"/>
            <w:shd w:val="clear" w:color="auto" w:fill="1A56DB"/>
          </w:tcPr>
          <w:p w14:paraId="5F106EEC">
            <w:r>
              <w:rPr>
                <w:b/>
                <w:bCs/>
                <w:color w:val="FFFFFF"/>
              </w:rPr>
              <w:t>Where It Appears</w:t>
            </w:r>
          </w:p>
        </w:tc>
        <w:tc>
          <w:tcPr>
            <w:tcW w:w="4000" w:type="dxa"/>
            <w:shd w:val="clear" w:color="auto" w:fill="1A56DB"/>
          </w:tcPr>
          <w:p w14:paraId="2481E042">
            <w:r>
              <w:rPr>
                <w:b/>
                <w:bCs/>
                <w:color w:val="FFFFFF"/>
              </w:rPr>
              <w:t>Protection Measure</w:t>
            </w:r>
          </w:p>
        </w:tc>
      </w:tr>
      <w:tr w14:paraId="53575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</w:tcPr>
          <w:p w14:paraId="41A69FB4">
            <w:r>
              <w:t>Payment card number</w:t>
            </w:r>
          </w:p>
        </w:tc>
        <w:tc>
          <w:tcPr>
            <w:tcW w:w="2600" w:type="dxa"/>
          </w:tcPr>
          <w:p w14:paraId="45CDE261">
            <w:r>
              <w:t>Transaction screen</w:t>
            </w:r>
          </w:p>
        </w:tc>
        <w:tc>
          <w:tcPr>
            <w:tcW w:w="4000" w:type="dxa"/>
          </w:tcPr>
          <w:p w14:paraId="4F9D618A">
            <w:r>
              <w:t>Masked, showing only last 4 digits (Visa *1234)</w:t>
            </w:r>
          </w:p>
        </w:tc>
      </w:tr>
      <w:tr w14:paraId="63864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</w:tcPr>
          <w:p w14:paraId="42FC8198">
            <w:r>
              <w:t>Recipient account number</w:t>
            </w:r>
          </w:p>
        </w:tc>
        <w:tc>
          <w:tcPr>
            <w:tcW w:w="2600" w:type="dxa"/>
          </w:tcPr>
          <w:p w14:paraId="7D217517">
            <w:r>
              <w:t>Transaction screen</w:t>
            </w:r>
          </w:p>
        </w:tc>
        <w:tc>
          <w:tcPr>
            <w:tcW w:w="4000" w:type="dxa"/>
          </w:tcPr>
          <w:p w14:paraId="06C3AECC">
            <w:r>
              <w:t>Masked account identifier (**** 4521)</w:t>
            </w:r>
          </w:p>
        </w:tc>
      </w:tr>
      <w:tr w14:paraId="743B3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</w:tcPr>
          <w:p w14:paraId="0A3FBC17">
            <w:r>
              <w:t>Account balance</w:t>
            </w:r>
          </w:p>
        </w:tc>
        <w:tc>
          <w:tcPr>
            <w:tcW w:w="2600" w:type="dxa"/>
          </w:tcPr>
          <w:p w14:paraId="419CE94E">
            <w:r>
              <w:t>Home screen</w:t>
            </w:r>
          </w:p>
        </w:tc>
        <w:tc>
          <w:tcPr>
            <w:tcW w:w="4000" w:type="dxa"/>
          </w:tcPr>
          <w:p w14:paraId="094806E2">
            <w:r>
              <w:t>Visible only after authentication; paired with a visible security/session cue</w:t>
            </w:r>
          </w:p>
        </w:tc>
      </w:tr>
      <w:tr w14:paraId="7BDEB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</w:tcPr>
          <w:p w14:paraId="10B23864">
            <w:r>
              <w:t>Login credentials</w:t>
            </w:r>
          </w:p>
        </w:tc>
        <w:tc>
          <w:tcPr>
            <w:tcW w:w="2600" w:type="dxa"/>
          </w:tcPr>
          <w:p w14:paraId="52706371">
            <w:r>
              <w:t>Login screen</w:t>
            </w:r>
          </w:p>
        </w:tc>
        <w:tc>
          <w:tcPr>
            <w:tcW w:w="4000" w:type="dxa"/>
          </w:tcPr>
          <w:p w14:paraId="40735F77">
            <w:r>
              <w:t>Input masked by default; explicit end-to-end encryption notice shown to the user</w:t>
            </w:r>
          </w:p>
        </w:tc>
      </w:tr>
      <w:tr w14:paraId="4D9DC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</w:tcPr>
          <w:p w14:paraId="67C309AF">
            <w:r>
              <w:t>Session activity</w:t>
            </w:r>
          </w:p>
        </w:tc>
        <w:tc>
          <w:tcPr>
            <w:tcW w:w="2600" w:type="dxa"/>
          </w:tcPr>
          <w:p w14:paraId="2AB9819B">
            <w:r>
              <w:t>Home screen</w:t>
            </w:r>
          </w:p>
        </w:tc>
        <w:tc>
          <w:tcPr>
            <w:tcW w:w="4000" w:type="dxa"/>
          </w:tcPr>
          <w:p w14:paraId="742A4EDC">
            <w:r>
              <w:t>Last login time and location surfaced for user transparency</w:t>
            </w:r>
          </w:p>
        </w:tc>
      </w:tr>
      <w:tr w14:paraId="38584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</w:tcPr>
          <w:p w14:paraId="72B1729B">
            <w:r>
              <w:t>Transaction details</w:t>
            </w:r>
          </w:p>
        </w:tc>
        <w:tc>
          <w:tcPr>
            <w:tcW w:w="2600" w:type="dxa"/>
          </w:tcPr>
          <w:p w14:paraId="6435B52A">
            <w:r>
              <w:t>Transaction screen</w:t>
            </w:r>
          </w:p>
        </w:tc>
        <w:tc>
          <w:tcPr>
            <w:tcW w:w="4000" w:type="dxa"/>
          </w:tcPr>
          <w:p w14:paraId="0E290C00">
            <w:r>
              <w:t>Full breakdown shown before confirmation; explicit encryption/protection notice before sending</w:t>
            </w:r>
          </w:p>
        </w:tc>
      </w:tr>
    </w:tbl>
    <w:p w14:paraId="7F62A7BD">
      <w:pPr>
        <w:pStyle w:val="3"/>
        <w:spacing w:before="300" w:after="150"/>
      </w:pPr>
      <w:r>
        <w:t>Design Commitments</w:t>
      </w:r>
    </w:p>
    <w:p w14:paraId="4761CF94">
      <w:pPr>
        <w:pStyle w:val="16"/>
        <w:numPr>
          <w:ilvl w:val="0"/>
          <w:numId w:val="1"/>
        </w:numPr>
        <w:spacing w:after="100"/>
      </w:pPr>
      <w:r>
        <w:t>No full account or card numbers are ever displayed on-screen — only masked/partial identifiers.</w:t>
      </w:r>
    </w:p>
    <w:p w14:paraId="7BD96ACC">
      <w:pPr>
        <w:pStyle w:val="16"/>
        <w:numPr>
          <w:ilvl w:val="0"/>
          <w:numId w:val="1"/>
        </w:numPr>
        <w:spacing w:after="100"/>
      </w:pPr>
      <w:r>
        <w:t>Every screen that involves sensitive data or a financial action includes a visible trust or security cue, so protection is communicated, not just implemented silently.</w:t>
      </w:r>
    </w:p>
    <w:p w14:paraId="28ACB2CD">
      <w:pPr>
        <w:pStyle w:val="16"/>
        <w:numPr>
          <w:ilvl w:val="0"/>
          <w:numId w:val="1"/>
        </w:numPr>
        <w:spacing w:after="100"/>
      </w:pPr>
      <w:r>
        <w:t>Users are shown a confirmation step with full transaction details before any money movement is finalized, reducing the risk of errors involving personal data or funds.</w:t>
      </w:r>
    </w:p>
    <w:p w14:paraId="7E868A1D">
      <w:pPr>
        <w:pStyle w:val="16"/>
        <w:numPr>
          <w:ilvl w:val="0"/>
          <w:numId w:val="1"/>
        </w:numPr>
        <w:spacing w:after="100"/>
      </w:pPr>
      <w:r>
        <w:t>Session context (last login time and location) is surfaced to the user, supporting transparency about account activity.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1AE4C2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567</Words>
  <Characters>3408</Characters>
  <TotalTime>2</TotalTime>
  <ScaleCrop>false</ScaleCrop>
  <LinksUpToDate>false</LinksUpToDate>
  <CharactersWithSpaces>3927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2026-08-17T08:30:00Z</dcterms:created>
  <dc:creator>Un-named</dc:creator>
  <cp:lastModifiedBy>WPS_1775822409</cp:lastModifiedBy>
  <dcterms:modified xsi:type="dcterms:W3CDTF">2026-08-18T01:13:38Z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eyJoZGlkIjoiNTQxZDc3Y2ExYWQyOTUwOGZhYzM4MTU1Nzk0YWZkMDAiLCJ1c2VySWQiOiIyNzQ4NzgwMDAwOTE3In0=</vt:lpwstr>
  </property>
  <property fmtid="{D5CDD505-2E9C-101B-9397-08002B2CF9AE}" pid="3" name="KSOProductBuildVer">
    <vt:lpwstr>1033-12.1.0.28032</vt:lpwstr>
  </property>
  <property fmtid="{D5CDD505-2E9C-101B-9397-08002B2CF9AE}" pid="4" name="ICV">
    <vt:lpwstr>34BBAAAECE664642886ED27B726BBDDE_12</vt:lpwstr>
  </property>
</Properties>
</file>