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Présentation du logiciel SprintMaster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Logiciel SaaS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 de facturation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Plusieurs modules, mais pour l’instant : PROJET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Présentation des modules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Système de LOGIN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Serveur Modules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Serveur de base de données / Meta SQL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Projet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Mandat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Cas d’usage / Scénarios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Maquette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CRC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Planification globale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Puissance du SaaS : offrir d’autres services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Hébergement des données $$, fichiers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