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297" w:rsidRPr="00243554" w:rsidRDefault="00E40A50" w:rsidP="00785B8F">
      <w:pPr>
        <w:jc w:val="center"/>
        <w:rPr>
          <w:rFonts w:cs="Times New Roman"/>
          <w:sz w:val="44"/>
          <w:szCs w:val="44"/>
        </w:rPr>
      </w:pPr>
      <w:r w:rsidRPr="00243554">
        <w:rPr>
          <w:rFonts w:cs="Times New Roman"/>
          <w:b/>
          <w:sz w:val="44"/>
          <w:szCs w:val="44"/>
        </w:rPr>
        <w:t>Comparação Experimental de NSGA-II, SPEA2 e NSGA-III em um CVRP Multiobjetivo com Equidade de Carga</w:t>
      </w:r>
    </w:p>
    <w:p w:rsidR="00D15297" w:rsidRPr="00243554" w:rsidRDefault="00E40A50">
      <w:pPr>
        <w:jc w:val="center"/>
        <w:rPr>
          <w:rFonts w:cs="Times New Roman"/>
        </w:rPr>
      </w:pPr>
      <w:r w:rsidRPr="00243554">
        <w:rPr>
          <w:rFonts w:cs="Times New Roman"/>
          <w:sz w:val="18"/>
        </w:rPr>
        <w:t>Gabriel B. Lopes, Vanderley M. Silva, Vinicius F. Cerqueira e Stephanie F. Lemos</w:t>
      </w:r>
      <w:r w:rsidRPr="00243554">
        <w:rPr>
          <w:rFonts w:cs="Times New Roman"/>
          <w:sz w:val="18"/>
        </w:rPr>
        <w:br/>
        <w:t>Programa de Pós-Graduação em Engenharia Elétrica, UFMG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b/>
          <w:szCs w:val="20"/>
        </w:rPr>
        <w:t>Resumo—</w:t>
      </w:r>
      <w:r w:rsidRPr="00243554">
        <w:rPr>
          <w:rFonts w:cs="Times New Roman"/>
          <w:szCs w:val="20"/>
        </w:rPr>
        <w:t>Este artigo apresenta uma análise experimental de três algoritmos evolucionários multiobjetivo aplicados a um Problema de Roteamento de Veículos Capacitado com equidade de carga. A formulação considera simultaneamente a minimização do custo total das rotas, a redução do desbalanceamento entre veículos e a minimização da maior rota. Foram comparados NSGA-II, SPEA2 e NSGA-III em uma instância didática com 20 clientes, 6 veículos e capacidade 35, usando 30 execuções independentes por algoritmo. Os resultados indicaram que o NSGA-II obteve o maior Hypervolume (0,952308), o menor IGD (0,070015) e o menor Spread (1,053853), enquanto o SPEA2 apresentou a maior cardinalidade final da frente (21 soluções) e o NSGA-III apresentou o menor tempo médio por execução (382,80 s). Conclui-se que, para a instância e parametrização avaliadas, o NSGA-II apresentou o melhor compromisso global entre qualidade, proximidade da frente de referência e regularidade da distribuição de soluções.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b/>
          <w:szCs w:val="20"/>
        </w:rPr>
        <w:t>Palavras-chave—</w:t>
      </w:r>
      <w:r w:rsidRPr="00243554">
        <w:rPr>
          <w:rFonts w:cs="Times New Roman"/>
          <w:szCs w:val="20"/>
        </w:rPr>
        <w:t>CVRP; VRP multiobjetivo; equidade de carga; NSGA-II; SPEA2; NSGA-III; frente de Pareto.</w:t>
      </w:r>
    </w:p>
    <w:p w:rsidR="00D15297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I. Introdução</w:t>
      </w:r>
    </w:p>
    <w:p w:rsidR="00243554" w:rsidRPr="00243554" w:rsidRDefault="00243554" w:rsidP="00243554"/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O Problema de Roteamento de Veículos surgiu como uma das formulações fundamentais da otimização logística, buscando determinar rotas para uma frota que atende clientes a partir de um depósito. Desde o trabalho seminal de Dantzig e Ramser, o VRP passou a representar uma família extensa de problemas, incluindo variantes com capacidade, janelas de tempo, múltiplos depósitos e objetivos conflitantes. [1], [2]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Na prática, soluções puramente orientadas ao menor custo total podem produzir alocação injusta de carga entre motoristas ou veículos. Isso é especialmente relevante em operações reais, nas quais fadiga, jornada, percepção de justiça e aderência operacional importam tanto quanto distância percorrida. A literatura de workload equity em VRP destaca que a escolha da métrica de equidade influencia diretamente a estrutura das soluções Pareto-ótimas. [6], [10]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O objetivo deste trabalho é comparar NSGA-II, SPEA2 e NSGA-III em um CVRP multiobjetivo didático com três objetivos: custo total, variância dos custos das rotas e makespan. A contribuição está na análise comparativa e explicativa das frentes obtidas, com ênfase na relação entre eficiência e equidade. [3]–[6]</w:t>
      </w:r>
    </w:p>
    <w:p w:rsidR="00D15297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II. Fundamentação Teórica</w:t>
      </w:r>
    </w:p>
    <w:p w:rsidR="00243554" w:rsidRPr="00243554" w:rsidRDefault="00243554" w:rsidP="00243554"/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O CVRP é uma variante do VRP na qual cada cliente possui uma demanda e cada veículo possui uma capacidade máxima. Essa restrição transforma a simples ordenação de visitas em um problema combinatório com decisões de agrupamento e sequenciamento. [2], [7]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Problemas multiobjetivo não possuem, em geral, uma única solução ótima. Em vez disso, busca-se uma frente de Pareto composta por soluções não dominadas. Uma solução é não dominada quando nenhuma outra solução é melhor ou igual em todos os objetivos e estritamente melhor em pelo menos um. [3], [10]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lastRenderedPageBreak/>
        <w:t>O NSGA-II utiliza ordenação por não dominância e distância de aglomeração para preservar elitismo e diversidade. O SPEA2 incorpora fitness por força, estimativa de densidade e arquivo externo elitista. O NSGA-III substitui a distância de aglomeração por associação a pontos de referência, sendo especialmente projetado para problemas com muitos objetivos. [3]–[5]</w:t>
      </w:r>
    </w:p>
    <w:p w:rsidR="00D15297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 xml:space="preserve">III. </w:t>
      </w:r>
      <w:r w:rsidR="00243554">
        <w:rPr>
          <w:rFonts w:ascii="Times New Roman" w:hAnsi="Times New Roman" w:cs="Times New Roman"/>
          <w:color w:val="auto"/>
          <w:sz w:val="20"/>
          <w:szCs w:val="20"/>
        </w:rPr>
        <w:t>O</w:t>
      </w:r>
      <w:r w:rsidRPr="00243554">
        <w:rPr>
          <w:rFonts w:ascii="Times New Roman" w:hAnsi="Times New Roman" w:cs="Times New Roman"/>
          <w:color w:val="auto"/>
          <w:sz w:val="20"/>
          <w:szCs w:val="20"/>
        </w:rPr>
        <w:t xml:space="preserve"> Problema</w:t>
      </w:r>
    </w:p>
    <w:p w:rsidR="00243554" w:rsidRPr="00243554" w:rsidRDefault="00243554" w:rsidP="00243554"/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A instância considerada possui um depósito, 20 clientes, 6 veículos e capacidade 35. O custo de uma rota é calculado pela distância euclidiana entre os nós visitados, incluindo saída e retorno ao depósito. A formulação multiobjetivo minimiza F1, F2 e F3, definidos como custo total, equidade por variância dos custos das rotas e makespan, respectivamente. [2], [6]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61"/>
        <w:gridCol w:w="1189"/>
        <w:gridCol w:w="3016"/>
        <w:gridCol w:w="3632"/>
      </w:tblGrid>
      <w:tr w:rsidR="00243554" w:rsidRPr="00243554" w:rsidTr="00785B8F">
        <w:trPr>
          <w:jc w:val="center"/>
        </w:trPr>
        <w:tc>
          <w:tcPr>
            <w:tcW w:w="1061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Objetivo</w:t>
            </w:r>
          </w:p>
        </w:tc>
        <w:tc>
          <w:tcPr>
            <w:tcW w:w="1189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Nome</w:t>
            </w:r>
          </w:p>
        </w:tc>
        <w:tc>
          <w:tcPr>
            <w:tcW w:w="3016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Definição operacional</w:t>
            </w:r>
          </w:p>
        </w:tc>
        <w:tc>
          <w:tcPr>
            <w:tcW w:w="3632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Interpretação</w:t>
            </w:r>
          </w:p>
        </w:tc>
      </w:tr>
      <w:tr w:rsidR="00243554" w:rsidRPr="00243554" w:rsidTr="00785B8F">
        <w:trPr>
          <w:jc w:val="center"/>
        </w:trPr>
        <w:tc>
          <w:tcPr>
            <w:tcW w:w="106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F1</w:t>
            </w:r>
          </w:p>
        </w:tc>
        <w:tc>
          <w:tcPr>
            <w:tcW w:w="1189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Custo total</w:t>
            </w:r>
          </w:p>
        </w:tc>
        <w:tc>
          <w:tcPr>
            <w:tcW w:w="301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Soma dos custos de todas as rotas</w:t>
            </w:r>
          </w:p>
        </w:tc>
        <w:tc>
          <w:tcPr>
            <w:tcW w:w="3632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Minimizar eficiência operacional</w:t>
            </w:r>
          </w:p>
        </w:tc>
      </w:tr>
      <w:tr w:rsidR="00243554" w:rsidRPr="00243554" w:rsidTr="00785B8F">
        <w:trPr>
          <w:jc w:val="center"/>
        </w:trPr>
        <w:tc>
          <w:tcPr>
            <w:tcW w:w="106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F2</w:t>
            </w:r>
          </w:p>
        </w:tc>
        <w:tc>
          <w:tcPr>
            <w:tcW w:w="1189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Equidade</w:t>
            </w:r>
          </w:p>
        </w:tc>
        <w:tc>
          <w:tcPr>
            <w:tcW w:w="301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Variância dos custos das rotas</w:t>
            </w:r>
          </w:p>
        </w:tc>
        <w:tc>
          <w:tcPr>
            <w:tcW w:w="3632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Reduzir desbalanceamento entre veículos</w:t>
            </w:r>
          </w:p>
        </w:tc>
      </w:tr>
      <w:tr w:rsidR="00D15297" w:rsidRPr="00243554" w:rsidTr="00785B8F">
        <w:trPr>
          <w:jc w:val="center"/>
        </w:trPr>
        <w:tc>
          <w:tcPr>
            <w:tcW w:w="106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F3</w:t>
            </w:r>
          </w:p>
        </w:tc>
        <w:tc>
          <w:tcPr>
            <w:tcW w:w="1189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Makespan</w:t>
            </w:r>
          </w:p>
        </w:tc>
        <w:tc>
          <w:tcPr>
            <w:tcW w:w="301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Maior custo individual de rota</w:t>
            </w:r>
          </w:p>
        </w:tc>
        <w:tc>
          <w:tcPr>
            <w:tcW w:w="3632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Reduzir pior caso operacional</w:t>
            </w:r>
          </w:p>
        </w:tc>
      </w:tr>
    </w:tbl>
    <w:p w:rsidR="00F505E5" w:rsidRPr="00243554" w:rsidRDefault="00F505E5" w:rsidP="00785B8F">
      <w:pPr>
        <w:jc w:val="both"/>
        <w:rPr>
          <w:rFonts w:cs="Times New Roman"/>
          <w:szCs w:val="20"/>
        </w:rPr>
      </w:pP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A adoção da variância como métrica de equidade deve ser lida criticamente: ela mede dispersão global em torno da média, mas não necessariamente captura todos os aspectos axiomaticamente desejáveis de equidade discutidos na literatura. [6]</w:t>
      </w:r>
    </w:p>
    <w:p w:rsidR="00D15297" w:rsidRPr="00243554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IV. Metodologia Experimental</w:t>
      </w:r>
    </w:p>
    <w:p w:rsidR="00F505E5" w:rsidRPr="00243554" w:rsidRDefault="00F505E5" w:rsidP="00785B8F">
      <w:pPr>
        <w:jc w:val="both"/>
        <w:rPr>
          <w:rFonts w:cs="Times New Roman"/>
          <w:szCs w:val="20"/>
        </w:rPr>
      </w:pP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Foram realizadas 30 execuções independentes para cada algoritmo. O modo completo utilizou população 100 e 500 gerações. As métricas finais foram Hypervolume, IGD, Spread e cardinalidade da frente. O tempo foi medido por execução. [3]–[5], [8]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94"/>
        <w:gridCol w:w="777"/>
        <w:gridCol w:w="1616"/>
        <w:gridCol w:w="1866"/>
        <w:gridCol w:w="1461"/>
        <w:gridCol w:w="1383"/>
      </w:tblGrid>
      <w:tr w:rsidR="00243554" w:rsidRPr="00243554" w:rsidTr="00785B8F">
        <w:trPr>
          <w:jc w:val="center"/>
        </w:trPr>
        <w:tc>
          <w:tcPr>
            <w:tcW w:w="1194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Algoritmo</w:t>
            </w:r>
          </w:p>
        </w:tc>
        <w:tc>
          <w:tcPr>
            <w:tcW w:w="777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Exec.</w:t>
            </w:r>
          </w:p>
        </w:tc>
        <w:tc>
          <w:tcPr>
            <w:tcW w:w="1616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Tempo total (s)</w:t>
            </w:r>
          </w:p>
        </w:tc>
        <w:tc>
          <w:tcPr>
            <w:tcW w:w="1866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Tempo formatado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Média s/exec.</w:t>
            </w:r>
          </w:p>
        </w:tc>
        <w:tc>
          <w:tcPr>
            <w:tcW w:w="1383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Card. média</w:t>
            </w:r>
          </w:p>
        </w:tc>
      </w:tr>
      <w:tr w:rsidR="00243554" w:rsidRPr="00243554" w:rsidTr="00785B8F">
        <w:trPr>
          <w:jc w:val="center"/>
        </w:trPr>
        <w:tc>
          <w:tcPr>
            <w:tcW w:w="1194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NSGA-II</w:t>
            </w:r>
          </w:p>
        </w:tc>
        <w:tc>
          <w:tcPr>
            <w:tcW w:w="777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30</w:t>
            </w:r>
          </w:p>
        </w:tc>
        <w:tc>
          <w:tcPr>
            <w:tcW w:w="161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12470.13</w:t>
            </w:r>
          </w:p>
        </w:tc>
        <w:tc>
          <w:tcPr>
            <w:tcW w:w="18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3h 27min 50.13s</w:t>
            </w:r>
          </w:p>
        </w:tc>
        <w:tc>
          <w:tcPr>
            <w:tcW w:w="146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415.67</w:t>
            </w:r>
          </w:p>
        </w:tc>
        <w:tc>
          <w:tcPr>
            <w:tcW w:w="1383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10.53</w:t>
            </w:r>
          </w:p>
        </w:tc>
      </w:tr>
      <w:tr w:rsidR="00243554" w:rsidRPr="00243554" w:rsidTr="00785B8F">
        <w:trPr>
          <w:jc w:val="center"/>
        </w:trPr>
        <w:tc>
          <w:tcPr>
            <w:tcW w:w="1194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SPEA2</w:t>
            </w:r>
          </w:p>
        </w:tc>
        <w:tc>
          <w:tcPr>
            <w:tcW w:w="777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30</w:t>
            </w:r>
          </w:p>
        </w:tc>
        <w:tc>
          <w:tcPr>
            <w:tcW w:w="161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12426.63</w:t>
            </w:r>
          </w:p>
        </w:tc>
        <w:tc>
          <w:tcPr>
            <w:tcW w:w="18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3h 27min 6.63s</w:t>
            </w:r>
          </w:p>
        </w:tc>
        <w:tc>
          <w:tcPr>
            <w:tcW w:w="146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414.22</w:t>
            </w:r>
          </w:p>
        </w:tc>
        <w:tc>
          <w:tcPr>
            <w:tcW w:w="1383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11.43</w:t>
            </w:r>
          </w:p>
        </w:tc>
      </w:tr>
      <w:tr w:rsidR="00D15297" w:rsidRPr="00243554" w:rsidTr="00785B8F">
        <w:trPr>
          <w:jc w:val="center"/>
        </w:trPr>
        <w:tc>
          <w:tcPr>
            <w:tcW w:w="1194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NSGA-III</w:t>
            </w:r>
          </w:p>
        </w:tc>
        <w:tc>
          <w:tcPr>
            <w:tcW w:w="777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30</w:t>
            </w:r>
          </w:p>
        </w:tc>
        <w:tc>
          <w:tcPr>
            <w:tcW w:w="161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11483.95</w:t>
            </w:r>
          </w:p>
        </w:tc>
        <w:tc>
          <w:tcPr>
            <w:tcW w:w="18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3h 11min 23.95s</w:t>
            </w:r>
          </w:p>
        </w:tc>
        <w:tc>
          <w:tcPr>
            <w:tcW w:w="146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382.80</w:t>
            </w:r>
          </w:p>
        </w:tc>
        <w:tc>
          <w:tcPr>
            <w:tcW w:w="1383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10.47</w:t>
            </w:r>
          </w:p>
        </w:tc>
      </w:tr>
    </w:tbl>
    <w:p w:rsidR="00F505E5" w:rsidRPr="00243554" w:rsidRDefault="00F505E5" w:rsidP="00785B8F">
      <w:pPr>
        <w:jc w:val="both"/>
        <w:rPr>
          <w:rFonts w:cs="Times New Roman"/>
          <w:szCs w:val="20"/>
        </w:rPr>
      </w:pP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Os testes não paramétricos foram usados apenas para variáveis disponíveis por execução. Como HV, IGD e Spread foram exportados apenas como métricas finais agregadas por algoritmo, não se realizou teste inferencial sobre essas três métricas. Essa decisão evita inferência estatística sem amostra adequada. [8]</w:t>
      </w:r>
    </w:p>
    <w:p w:rsidR="00243554" w:rsidRPr="00243554" w:rsidRDefault="00E40A50" w:rsidP="00243554">
      <w:pPr>
        <w:pStyle w:val="Ttulo1"/>
        <w:jc w:val="both"/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V. Resultados e Discussão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94"/>
        <w:gridCol w:w="1066"/>
        <w:gridCol w:w="1066"/>
        <w:gridCol w:w="1078"/>
        <w:gridCol w:w="811"/>
      </w:tblGrid>
      <w:tr w:rsidR="00243554" w:rsidRPr="00243554" w:rsidTr="00785B8F">
        <w:trPr>
          <w:jc w:val="center"/>
        </w:trPr>
        <w:tc>
          <w:tcPr>
            <w:tcW w:w="1194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Algoritmo</w:t>
            </w:r>
          </w:p>
        </w:tc>
        <w:tc>
          <w:tcPr>
            <w:tcW w:w="1066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HV ↑</w:t>
            </w:r>
          </w:p>
        </w:tc>
        <w:tc>
          <w:tcPr>
            <w:tcW w:w="1066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IGD ↓</w:t>
            </w:r>
          </w:p>
        </w:tc>
        <w:tc>
          <w:tcPr>
            <w:tcW w:w="1078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Spread ↓</w:t>
            </w:r>
          </w:p>
        </w:tc>
        <w:tc>
          <w:tcPr>
            <w:tcW w:w="811" w:type="dxa"/>
            <w:shd w:val="clear" w:color="auto" w:fill="D9EAF7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b/>
                <w:szCs w:val="20"/>
              </w:rPr>
              <w:t>Card.</w:t>
            </w:r>
          </w:p>
        </w:tc>
      </w:tr>
      <w:tr w:rsidR="00243554" w:rsidRPr="00243554" w:rsidTr="00785B8F">
        <w:trPr>
          <w:jc w:val="center"/>
        </w:trPr>
        <w:tc>
          <w:tcPr>
            <w:tcW w:w="1194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NSGA-II</w:t>
            </w:r>
          </w:p>
        </w:tc>
        <w:tc>
          <w:tcPr>
            <w:tcW w:w="10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0.952308</w:t>
            </w:r>
          </w:p>
        </w:tc>
        <w:tc>
          <w:tcPr>
            <w:tcW w:w="10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0.070015</w:t>
            </w:r>
          </w:p>
        </w:tc>
        <w:tc>
          <w:tcPr>
            <w:tcW w:w="1078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1.053853</w:t>
            </w:r>
          </w:p>
        </w:tc>
        <w:tc>
          <w:tcPr>
            <w:tcW w:w="81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13</w:t>
            </w:r>
          </w:p>
        </w:tc>
      </w:tr>
      <w:tr w:rsidR="00243554" w:rsidRPr="00243554" w:rsidTr="00785B8F">
        <w:trPr>
          <w:jc w:val="center"/>
        </w:trPr>
        <w:tc>
          <w:tcPr>
            <w:tcW w:w="1194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SPEA2</w:t>
            </w:r>
          </w:p>
        </w:tc>
        <w:tc>
          <w:tcPr>
            <w:tcW w:w="10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0.925001</w:t>
            </w:r>
          </w:p>
        </w:tc>
        <w:tc>
          <w:tcPr>
            <w:tcW w:w="10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0.120335</w:t>
            </w:r>
          </w:p>
        </w:tc>
        <w:tc>
          <w:tcPr>
            <w:tcW w:w="1078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1.680614</w:t>
            </w:r>
          </w:p>
        </w:tc>
        <w:tc>
          <w:tcPr>
            <w:tcW w:w="81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21</w:t>
            </w:r>
          </w:p>
        </w:tc>
      </w:tr>
      <w:tr w:rsidR="00D15297" w:rsidRPr="00243554" w:rsidTr="00785B8F">
        <w:trPr>
          <w:jc w:val="center"/>
        </w:trPr>
        <w:tc>
          <w:tcPr>
            <w:tcW w:w="1194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NSGA-III</w:t>
            </w:r>
          </w:p>
        </w:tc>
        <w:tc>
          <w:tcPr>
            <w:tcW w:w="10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0.900200</w:t>
            </w:r>
          </w:p>
        </w:tc>
        <w:tc>
          <w:tcPr>
            <w:tcW w:w="1066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0.152765</w:t>
            </w:r>
          </w:p>
        </w:tc>
        <w:tc>
          <w:tcPr>
            <w:tcW w:w="1078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1.200853</w:t>
            </w:r>
          </w:p>
        </w:tc>
        <w:tc>
          <w:tcPr>
            <w:tcW w:w="811" w:type="dxa"/>
            <w:vAlign w:val="center"/>
          </w:tcPr>
          <w:p w:rsidR="00D15297" w:rsidRPr="00243554" w:rsidRDefault="00E40A50" w:rsidP="00785B8F">
            <w:pPr>
              <w:jc w:val="center"/>
              <w:rPr>
                <w:rFonts w:cs="Times New Roman"/>
                <w:szCs w:val="20"/>
              </w:rPr>
            </w:pPr>
            <w:r w:rsidRPr="00243554">
              <w:rPr>
                <w:rFonts w:cs="Times New Roman"/>
                <w:szCs w:val="20"/>
              </w:rPr>
              <w:t>17</w:t>
            </w:r>
          </w:p>
        </w:tc>
      </w:tr>
    </w:tbl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lastRenderedPageBreak/>
        <w:t>O NSGA-II apresentou o maior HV, o menor IGD e o menor Spread, caracterizando o melhor desempenho global no experimento. O SPEA2 gerou a maior cardinalidade, mas com maior Spread e IGD intermediário, indicando que quantidade de soluções não implica necessariamente maior qualidade de frente. O NSGA-III foi o mais rápido, porém apresentou menor HV e maior IGD. [3]–[5], [8]</w:t>
      </w:r>
    </w:p>
    <w:p w:rsidR="00D15297" w:rsidRPr="00243554" w:rsidRDefault="00E40A50" w:rsidP="00785B8F">
      <w:pPr>
        <w:jc w:val="center"/>
        <w:rPr>
          <w:rFonts w:cs="Times New Roman"/>
          <w:szCs w:val="20"/>
        </w:rPr>
      </w:pPr>
      <w:r w:rsidRPr="00243554">
        <w:rPr>
          <w:rFonts w:cs="Times New Roman"/>
          <w:noProof/>
          <w:szCs w:val="20"/>
          <w:lang w:val="pt-BR" w:eastAsia="pt-BR"/>
        </w:rPr>
        <w:drawing>
          <wp:inline distT="0" distB="0" distL="0" distR="0" wp14:anchorId="66CFC70F" wp14:editId="4C147047">
            <wp:extent cx="2926080" cy="2985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_frentes_3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8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97" w:rsidRPr="00243554" w:rsidRDefault="00E40A50" w:rsidP="00785B8F">
      <w:pPr>
        <w:jc w:val="center"/>
        <w:rPr>
          <w:rFonts w:cs="Times New Roman"/>
          <w:szCs w:val="20"/>
        </w:rPr>
      </w:pPr>
      <w:r w:rsidRPr="00243554">
        <w:rPr>
          <w:rFonts w:cs="Times New Roman"/>
          <w:i/>
          <w:szCs w:val="20"/>
        </w:rPr>
        <w:t>Figura 1. Frentes não dominadas aproximadas em três objetivos.</w:t>
      </w:r>
    </w:p>
    <w:p w:rsidR="00D15297" w:rsidRPr="00243554" w:rsidRDefault="00E40A50" w:rsidP="00785B8F">
      <w:pPr>
        <w:jc w:val="center"/>
        <w:rPr>
          <w:rFonts w:cs="Times New Roman"/>
          <w:szCs w:val="20"/>
        </w:rPr>
      </w:pPr>
      <w:r w:rsidRPr="00243554">
        <w:rPr>
          <w:rFonts w:cs="Times New Roman"/>
          <w:noProof/>
          <w:szCs w:val="20"/>
          <w:lang w:val="pt-BR" w:eastAsia="pt-BR"/>
        </w:rPr>
        <w:drawing>
          <wp:inline distT="0" distB="0" distL="0" distR="0" wp14:anchorId="472427DD" wp14:editId="511A1B7B">
            <wp:extent cx="2926080" cy="2178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_tradeoff_custo_equid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97" w:rsidRPr="00243554" w:rsidRDefault="00E40A50" w:rsidP="00785B8F">
      <w:pPr>
        <w:jc w:val="center"/>
        <w:rPr>
          <w:rFonts w:cs="Times New Roman"/>
          <w:szCs w:val="20"/>
        </w:rPr>
      </w:pPr>
      <w:r w:rsidRPr="00243554">
        <w:rPr>
          <w:rFonts w:cs="Times New Roman"/>
          <w:i/>
          <w:szCs w:val="20"/>
        </w:rPr>
        <w:t>Figura 2. Tradeoff entre custo total e equidade.</w:t>
      </w:r>
    </w:p>
    <w:p w:rsidR="00D15297" w:rsidRPr="00243554" w:rsidRDefault="00E40A50" w:rsidP="00785B8F">
      <w:pPr>
        <w:jc w:val="center"/>
        <w:rPr>
          <w:rFonts w:cs="Times New Roman"/>
          <w:szCs w:val="20"/>
        </w:rPr>
      </w:pPr>
      <w:r w:rsidRPr="00243554">
        <w:rPr>
          <w:rFonts w:cs="Times New Roman"/>
          <w:noProof/>
          <w:szCs w:val="20"/>
          <w:lang w:val="pt-BR" w:eastAsia="pt-BR"/>
        </w:rPr>
        <w:drawing>
          <wp:inline distT="0" distB="0" distL="0" distR="0" wp14:anchorId="719D217C" wp14:editId="341A9027">
            <wp:extent cx="2926080" cy="1807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_convergencia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297" w:rsidRPr="00243554" w:rsidRDefault="00E40A50" w:rsidP="00785B8F">
      <w:pPr>
        <w:jc w:val="center"/>
        <w:rPr>
          <w:rFonts w:cs="Times New Roman"/>
          <w:szCs w:val="20"/>
        </w:rPr>
      </w:pPr>
      <w:r w:rsidRPr="00243554">
        <w:rPr>
          <w:rFonts w:cs="Times New Roman"/>
          <w:i/>
          <w:szCs w:val="20"/>
        </w:rPr>
        <w:lastRenderedPageBreak/>
        <w:t>Figura 3. Evolução do menor F1 na frente.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A análise do tradeoff mostra que a região inferior esquerda do plano F1-F2 representa soluções mais desejáveis, pois combinam menor custo e menor desbalanceamento. A presença de pontos extremos reforça a natureza multiobjetivo do problema: soluções com boa equidade podem demandar maior custo total, e soluções de menor custo podem aumentar a dispersão de carga. [6], [10]</w:t>
      </w:r>
    </w:p>
    <w:p w:rsidR="00D15297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VI. Limitações e Ameaças à Validade</w:t>
      </w:r>
    </w:p>
    <w:p w:rsidR="00243554" w:rsidRPr="00243554" w:rsidRDefault="00243554" w:rsidP="00243554"/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A principal limitação é que os resultados foram obtidos em uma única instância didática de 20 clientes. Portanto, não se pode generalizar a superioridade do NSGA-II para todas as instâncias CVRP. Para fortalecer o estudo em nível publicável, recomenda-se repetir a análise em instâncias CVRPLIB, salvar HV, IGD e Spread por execução e aplicar testes não paramétricos com correção post-hoc. [7], [8]</w:t>
      </w:r>
    </w:p>
    <w:p w:rsidR="00D15297" w:rsidRPr="00243554" w:rsidRDefault="00E40A50" w:rsidP="00785B8F">
      <w:pPr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Outra limitação é que as figuras de solução compromisso não exportam os custos individuais por rota nem a sequência textual das rotas. Assim, a leitura operacional dos mapas deve ser qualitativa, enquanto a decisão técnica deve se apoiar nos indicadores numéricos exportados. [2], [6]</w:t>
      </w:r>
    </w:p>
    <w:p w:rsidR="00D15297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VII. Conclusão</w:t>
      </w:r>
    </w:p>
    <w:p w:rsidR="00243554" w:rsidRPr="00243554" w:rsidRDefault="00243554" w:rsidP="00243554"/>
    <w:p w:rsidR="00D15297" w:rsidRPr="00243554" w:rsidRDefault="00243554" w:rsidP="00785B8F">
      <w:pPr>
        <w:jc w:val="both"/>
        <w:rPr>
          <w:rFonts w:cs="Times New Roman"/>
          <w:szCs w:val="20"/>
        </w:rPr>
      </w:pPr>
      <w:r>
        <w:rPr>
          <w:rFonts w:cs="Times New Roman"/>
          <w:szCs w:val="20"/>
        </w:rPr>
        <w:t>Para a instância</w:t>
      </w:r>
      <w:bookmarkStart w:id="0" w:name="_GoBack"/>
      <w:bookmarkEnd w:id="0"/>
      <w:r w:rsidR="00E40A50" w:rsidRPr="00243554">
        <w:rPr>
          <w:rFonts w:cs="Times New Roman"/>
          <w:szCs w:val="20"/>
        </w:rPr>
        <w:t xml:space="preserve"> avaliada, o NSGA-II apresentou a melhor qualidade global de frente, seguido por SPEA2 e NSGA-III. O SPEA2 destacou-se por gerar maior cardinalidade final, mas com maior dispersão. O NSGA-III foi computacionalmente mais rápido, mas não apresentou melhor frente neste experimento. A proposta demonstra relevância acadêmica e prática ao incorporar equidade e makespan à análise de roteamento, aproximando o modelo de problemas reais de alocação justa de carga operacional. [3]–[8], [10]</w:t>
      </w:r>
    </w:p>
    <w:p w:rsidR="00D15297" w:rsidRPr="00243554" w:rsidRDefault="00E40A50" w:rsidP="00785B8F">
      <w:pPr>
        <w:pStyle w:val="Ttulo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243554">
        <w:rPr>
          <w:rFonts w:ascii="Times New Roman" w:hAnsi="Times New Roman" w:cs="Times New Roman"/>
          <w:color w:val="auto"/>
          <w:sz w:val="20"/>
          <w:szCs w:val="20"/>
        </w:rPr>
        <w:t>Referências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[1] G. B. Dantzig and J. H. Ramser, “The Truck Dispatching Problem,” Management Science, vol. 6, no. 1, pp. 80–91, 1959, doi: 10.1287/mnsc.6.1.80.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[2] P. Toth and D. Vigo, Vehicle Routing: Problems, Methods, and Applications, 2nd ed. Philadelphia, PA, USA: SIAM, 2014.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[3] K. Deb, A. Pratap, S. Agarwal, and T. Meyarivan, “A fast and elitist multiobjective genetic algorithm: NSGA-II,” IEEE Trans. Evol. Comput., vol. 6, no. 2, pp. 182–197, 2002, doi: 10.1109/4235.996017.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[4] E. Zitzler, M. Laumanns, and L. Thiele, “SPEA2: Improving the Strength Pareto Evolutionary Algorithm,” TIK-Report 103, ETH Zürich, 2001.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[5] K. Deb and H. Jain, “An Evolutionary Many-Objective Optimization Algorithm Using Reference-Point-Based Nondominated Sorting Approach, Part I,” IEEE Trans. Evol. Comput., vol. 18, no. 4, pp. 577–601, 2014, doi: 10.1109/TEVC.2013.2281535.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[6] P. Matl, R. F. Hartl, and T. Vidal, “Workload Equity in Vehicle Routing Problems: A Survey and Analysis,” Transportation Science, vol. 52, no. 2, pp. 239–260, 2018, doi: 10.1287/trsc.2017.0744.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[7] E. Uchoa, D. Pecin, A. Pessoa, M. Poggi, T. Vidal, and A. Subramanian, “New benchmark instances for the Capacitated Vehicle Routing Problem,” Eur. J. Oper. Res., vol. 257, no. 3, pp. 845–858, 2017, doi: 10.1016/j.ejor.2016.08.012.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[8] J. Derrac, S. García, D. Molina, and F. Herrera, “A practical tutorial on the use of nonparametric statistical tests as a methodology for comparing evolutionary and swarm intelligence algorithms,” Swarm Evol. Comput., vol. 1, no. 1, pp. 3–18, 2011, doi: 10.1016/j.swevo.2011.02.002.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[9] B. Ombuki, B. J. Ross, and F. Hanshar, “Multi-objective genetic algorithms for vehicle routing problem with time windows,” Applied Intelligence, vol. 24, no. 1, pp. 17–30, 2006, doi: 10.1007/s10489-006-6926-z.</w:t>
      </w:r>
    </w:p>
    <w:p w:rsidR="00D15297" w:rsidRPr="00243554" w:rsidRDefault="00E40A50" w:rsidP="00785B8F">
      <w:pPr>
        <w:spacing w:after="40"/>
        <w:jc w:val="both"/>
        <w:rPr>
          <w:rFonts w:cs="Times New Roman"/>
          <w:szCs w:val="20"/>
        </w:rPr>
      </w:pPr>
      <w:r w:rsidRPr="00243554">
        <w:rPr>
          <w:rFonts w:cs="Times New Roman"/>
          <w:szCs w:val="20"/>
        </w:rPr>
        <w:t>[10] N. Jozefowiez, F. Semet, and E.-G. Talbi, “Multi-objective vehicle routing problems,” Eur. J. Oper. Res., vol. 189, no. 2, pp. 293–309, 2008, doi: 10.1016/j.ejor.2007.05.055.</w:t>
      </w:r>
    </w:p>
    <w:sectPr w:rsidR="00D15297" w:rsidRPr="00243554" w:rsidSect="00034616">
      <w:footerReference w:type="default" r:id="rId11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A58" w:rsidRDefault="00E70A58">
      <w:pPr>
        <w:spacing w:after="0" w:line="240" w:lineRule="auto"/>
      </w:pPr>
      <w:r>
        <w:separator/>
      </w:r>
    </w:p>
  </w:endnote>
  <w:endnote w:type="continuationSeparator" w:id="0">
    <w:p w:rsidR="00E70A58" w:rsidRDefault="00E70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297" w:rsidRDefault="00E40A5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243554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A58" w:rsidRDefault="00E70A58">
      <w:pPr>
        <w:spacing w:after="0" w:line="240" w:lineRule="auto"/>
      </w:pPr>
      <w:r>
        <w:separator/>
      </w:r>
    </w:p>
  </w:footnote>
  <w:footnote w:type="continuationSeparator" w:id="0">
    <w:p w:rsidR="00E70A58" w:rsidRDefault="00E70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3554"/>
    <w:rsid w:val="0029639D"/>
    <w:rsid w:val="00326F90"/>
    <w:rsid w:val="00785B8F"/>
    <w:rsid w:val="00AA1D8D"/>
    <w:rsid w:val="00B47730"/>
    <w:rsid w:val="00CB0664"/>
    <w:rsid w:val="00D15297"/>
    <w:rsid w:val="00E40A50"/>
    <w:rsid w:val="00E70A58"/>
    <w:rsid w:val="00F50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9713C"/>
  <w14:defaultImageDpi w14:val="300"/>
  <w15:docId w15:val="{EBCA842F-6ECA-4A37-88CF-61295B5A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8E37CB-46AE-4B45-90E3-7FDA1B8ED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1482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2026-05-28T20:17:00Z</dcterms:modified>
  <cp:category/>
</cp:coreProperties>
</file>