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Забот хватает на весь год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стране и даже вне.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народом диалог ведёт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Владимир в декабре.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не доходит всем черёд,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 много, он один.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всё. что мы узнать хотим,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скажет Господин.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Толково, коротко и ясно,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Понятным языком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надо шутку подберёт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Знакомо это в нём.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Открыто смотрит на весь мир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Ответы раздавая.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журналисток он кумир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Они то не скрывают.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Общаясь с лидером державы,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гордость ощущаем.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Новый год с хорошим чувством,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каждый раз вступаем.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Немного в мире не спокойно,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Конечно, его сердцу больно.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виду он не подаёт.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Едины - Путин и народ!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