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Среди леса стоит дом,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Егерь проживает в нём.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Дружет с живностью в округе,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Лисы, лоси - все подруги.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даёт зимой холодной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Оставаться им голодным.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лосей на вешала,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Кладёт сено как шалаш.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Зайцам, натрусит зерна,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Даст чилиги кобанам,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Семечек в кармушки птицам.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ленится он трудиться.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Егерь, славная работа!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 меньших братьях забота.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Человек за всех в ответе,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Он ведь, главный на планете!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