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Пестравки до Кубани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Много вёрст, не сосчитать.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 кому, как ни Елене,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Ту дороженьку не знать!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Родилась и возростала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степные ковыли,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Обручальные колечки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Их с Василием свели.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косы ленточку вплетала.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Брови чёрные, вразлёт.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Потихоньку привыкала,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Хоть порой и не был мёд.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Открывала свою душу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Отче, каяся в грехах,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 а Муза посещала,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Излагала всё в стихах.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Сердце Леночке большое,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Руки делают добро.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такие люди едут,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 нам в Пестравское село!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