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Посмотрю на свои руки,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Все в мозолях, ну и пусть.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Но, зато, своим упорством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Я немножечко горжусь.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могу сидеть без дела,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Как-то это не с руки.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Мне частенько упрекают: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"Так живут, лишь дураки."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 порядку день построю,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 потом, а что вперёд.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Многовато дел порою,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Мало рук, наоборот.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Называют непоседой,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Торопыгой иногда.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Жить в движенье - моё кредо,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считать свои года.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Пусть в мозолях мои руки,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Я совсем их не стыжусь.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люблю безделья, скуки,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Бесполезной быть боюсь.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