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не открою вам секрет,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 дам тихонечко совет.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Чтобы здоровым, бодрым быть,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Себя и жизнь свою любить!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Зарядку делать по утрам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Любой и каждый должен,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Тем настроение предашь,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Красиво тело сложешь.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 гигиене я молчу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так это понятно,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чистый, свежий человек,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Ведь, это так приятно!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дверь слетевшая с петель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Ворчать не надо целый день,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Ты лучше песни напевай,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себя инергию вливай.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 грузи себя и всех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Жизнь продлевает громкий смех!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Смени таблетки и аптеку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книги и библиотеку,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помешает интелект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Добавить в основной комплект!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