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Валя, Валя,Валентина.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Есть и в городе квартира,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детишки, и внучата,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вот тянет в селе хата.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Дом родительский - святое!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нём блаженство и покой.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Нет удобства и в помине,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Лишь трещат дрова в камине.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Мать, Отец на фото рядом,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Встретят свою дочку взглядом.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Прикоснётся она к фото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прошепчет тихо что-то.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Вечерком прочтёт молитву,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Свет в лампадочьке зажжёт.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совсем уж когда грустно,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Потихонечку всплакнёт.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праведала дом отчий,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Подпиталась силой вновь.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Ей хватает одной ночи,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вспомнить всю любовь.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