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Простых людей я уважаю.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них добро идёт, я знаю.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Смеяться над собой умеют,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Других обидеть не посмеют.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Трясти не будут пыль, труху.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Раскажут всё как на духу.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рассказе больше добрых слов.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слушать их всегда готова.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Секреты все свои откроют,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Сетей не ставят, ям не роют.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Камня в запазух, им не надо,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Они другого совсем склада.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Пожать при встрече сильно руку,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показать печаль и скуку.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Умеют каждого понять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необьятное обьять.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