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Женат и холостая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Ведь приступленье, знаю,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жду тебя чуть смеркнется в ночи.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Умом ведь понимаю,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в семью я вторгаюсь.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Зачем всё это только не молчи.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Чем же, она не гоже?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Иль разлюбил, быть может?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Быть может огонёк в груди потух?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Лавируешь умело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даже скажем смело,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рвёшь себя на части между двух.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Себе даю я слово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уступить готова,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даже подбираю днём слова.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ночка наступает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снова всё меняет,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снова кругом ходит голова.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Представлю на минутку,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 я, на месте Людки.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хочется на части всех порвать!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хочется конечно,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верность была вечна,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хочется такое испытать!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