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Анжелы, у девчушке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порядку все игрушки.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Поиграет, а потом,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Сложет их в игрушкин дом.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Димульке, у мальчишке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стоят на полках книжки.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помнёт и не порвёт,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Бережёт на оборот.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Аккуратный и Серёжка,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разбросит он вещей.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Вещи все на стульчик сложет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кроватку поскорей.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Знают милые ребятки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слова валшебные.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Их не зхнают только те,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Кто неряхи, вредные.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