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Люблю село моё родное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Глазами, сердцем и душой.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Родней и ближе, нету края,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же привольно, хорошо!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Богата на пруды, овраги,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Лесополоски и долы.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Сельхозугодьями богата,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Достойно всякой похвалы!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Речушка плавно перливаясь,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Так не заметно, не спеша.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Пусть молчалива, но живая,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Она и есть, села душа.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Посмотрешь сверху, словно чаша,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Поля, каймою золотой!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Это, село, родное наше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 неотразимой красатой!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