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Сорока-белобока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Суетится целый день.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Летает до ночи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Осторожна очень!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Всех вредителей в саду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Собирает на лету.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упустит грызунов,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Ягод, семечек, грибов.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Наровит всё утащить,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сверкает и блестит.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Мелкие зеркал  кусочки,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возможные цепочки.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Часики, ключи, брослеты,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конечно же манеты.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в укромном месте спрячет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довольна, не иначи!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