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 стихах и музыке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Отрожается жизнь,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Они веят дыханием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Только ты окунись.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 стихах и музыке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Чувства все на показ,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Это только лишь кажется.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Что слепили из страз.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И смеёмся и плачим,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Прекасаяся к ним,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Человек так устроен,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И весёл, и раним.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