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 околицей табор стоит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Ночку тёмную здесь ночевали.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Распряжённые кони паслись,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дороги, от дальней устали.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Цыганята в кибитке сопят,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Смотрят сны и во сне позевая.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Выростают в дороге они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цыган просто, участь такая.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барон у палатке сидит,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сигар дым колечком пускает.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Строит планы на завтрошней день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большие усы подпевает.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костра, Яшка цыган сидит,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гетаре романсы играет.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манисто цыганки поют,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Косы чёрные ветер сплетает.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Ярко звёзды мерцают в ночи,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Месяц смотрет на них остророгий,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Кто-то жизнь проживёт на печи,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у табора, больше в дороге.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