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лопухи похожи ушки,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пуговка большая - пятачок.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Фигура - сто литровые кадушки,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хвостик - завитушкою крючок.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Лежат в грязи, лишь только уши видно,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Приятная для хрюшечек среда!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главное, ни сколько ни обидно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не нужна им вовсе чистота.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если землю рыть, то до водицы,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экскаватор, ловко и легко.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Упрямые, ну просто, как ослицы,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Ни близко не угнать, ни далеко.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Поест, пороет, ну и спать обратно.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Храпят как в поле трактор на парах!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всё равно, смотреть на них приятно,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Свинюшек, поросюшек и нерях.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