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в жизни ценностей полно,</w:t>
        <w:br w:type="textWrapping"/>
        <w:t xml:space="preserve">У каждого своё мерило.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будет мир на всей земле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чтобы солнышко светило!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в жизни вещи не надёжны,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Удача, состояние и власть.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миг потерять всё это можно,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Споткнуться, пошатнуться и упасть.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вернуть ни чем обратно время,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Безвозвратно улетит в лета.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 часов, минут, да и мгновений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Нашей жизни сложены года.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Словом можно ранить и обидеть,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Можно приласкать и оболгать.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Вылетит словечко, не поймаешь,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 не птица, чтоб её поймать.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Редко ценим то, что есть бесценно,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Здоровье, доверие, любовь.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Разбросав, растратив всё бесцельно,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получится вернуть всё это вновь.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Можно человеку ошибаться,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порою, даже слабым быть.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Суметь важно, о любви признаться,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Вовремя прощенье попросить.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