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У меня сестрёнка Янка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Озорная хулиганка!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Мне прохода не даёт,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Как магнитик пристаёт.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Я в кино, она за мной,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 магазин, опять стеной.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Я с друзьями играть в мяч,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Опять слышу её плач.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Фильм смотреть, хочу начать,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Просит сказки почитать.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И ещё семь дней в недели,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Просит покачать в качелях.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Ну, а если, что не так.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Сидит мрачная как тучка.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Я её порой шутя,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Зову Яночка-липучка!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Я сестрёнку обажаю,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Ведь мала она, я знаю.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Мир огромный познаёт,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Потому и пристаёт.   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