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AUDIT COMPARATIF POST-CORRECTIFS MANATUNER</w:t>
      </w:r>
    </w:p>
    <w:p>
      <w:pPr/>
      <w:r>
        <w:rPr>
          <w:b w:val="0"/>
          <w:i w:val="0"/>
        </w:rPr>
        <w:t xml:space="preserve">Audit du 6 septembre 2026 — </w:t>
      </w:r>
      <w:r>
        <w:rPr>
          <w:b/>
          <w:i w:val="0"/>
        </w:rPr>
        <w:t>aucune correction effectuée</w:t>
      </w:r>
      <w:r>
        <w:rPr>
          <w:b w:val="0"/>
          <w:i w:val="0"/>
        </w:rPr>
        <w:t>.</w:t>
      </w:r>
    </w:p>
    <w:p>
      <w:pPr>
        <w:spacing w:after="160"/>
      </w:pPr>
      <w:r>
        <w:rPr>
          <w:i/>
          <w:sz w:val="16"/>
        </w:rPr>
        <w:t>Ce nouveau fichier Word est créé à la demande du propriétaire après la remise de l’audit conversationnel. Les constats, notes, limites et résultats ci-dessus sont ceux de cet audit ; aucune nouvelle campagne de tests ni correction applicative n’a été effectuée pour cette mise en document. Le document historique reste inchangé. Les liens vers /tmp désignent les traces locales de la session et peuvent être temporaires.</w:t>
      </w:r>
    </w:p>
    <w:p>
      <w:pPr>
        <w:pStyle w:val="Heading1"/>
      </w:pPr>
      <w:r>
        <w:rPr>
          <w:b w:val="0"/>
          <w:i w:val="0"/>
        </w:rPr>
        <w:t>1. Verdict actuel</w:t>
      </w:r>
    </w:p>
    <w:p>
      <w:pPr/>
      <w:r>
        <w:rPr>
          <w:b/>
          <w:i w:val="0"/>
        </w:rPr>
        <w:t xml:space="preserve"> CORRECT MAIS AMÉLIORATIONS NÉCESSAIRES</w:t>
      </w:r>
    </w:p>
    <w:p>
      <w:pPr/>
      <w:r>
        <w:rPr>
          <w:b/>
          <w:i w:val="0"/>
        </w:rPr>
        <w:t>Score de préparation actuel : 72/100, contre 61/100 auparavant, soit +11 points.</w:t>
      </w:r>
    </w:p>
    <w:p>
      <w:pPr/>
      <w:r>
        <w:rPr>
          <w:b w:val="0"/>
          <w:i w:val="0"/>
        </w:rPr>
        <w:t>Les correctifs améliorent nettement la fiabilité du projet. Les sept défauts P1 historiques sont corrigés et vérifiés sur le code actuel.</w:t>
      </w:r>
    </w:p>
    <w:p>
      <w:pPr/>
      <w:r>
        <w:rPr>
          <w:b w:val="0"/>
          <w:i w:val="0"/>
        </w:rPr>
        <w:t>Deux réserves empêchent une conclusion plus favorable :</w:t>
      </w:r>
    </w:p>
    <w:p>
      <w:pPr>
        <w:pStyle w:val="ListBullet"/>
      </w:pPr>
      <w:r>
        <w:rPr>
          <w:b/>
          <w:i w:val="0"/>
        </w:rPr>
        <w:t>Le site public ne sert pas encore l’ensemble des correctifs actuels.</w:t>
      </w:r>
    </w:p>
    <w:p>
      <w:pPr>
        <w:pStyle w:val="ListBullet"/>
      </w:pPr>
      <w:r>
        <w:rPr>
          <w:b w:val="0"/>
          <w:i w:val="0"/>
        </w:rPr>
        <w:t>Les exports présentent une nouvelle incohérence de libellé et un défaut de contenu tronqué nouvellement démontré.</w:t>
      </w:r>
    </w:p>
    <w:p>
      <w:pPr/>
      <w:r>
        <w:rPr>
          <w:b w:val="0"/>
          <w:i w:val="0"/>
        </w:rPr>
        <w:t xml:space="preserve">Le score évalue la préparation actuelle du projet, en tenant compte de la livraison réellement observable. </w:t>
      </w:r>
      <w:r>
        <w:rPr>
          <w:b/>
          <w:i w:val="0"/>
        </w:rPr>
        <w:t>Il ne certifie pas que le HEAD actuel est entièrement déployé.</w:t>
      </w:r>
    </w:p>
    <w:p>
      <w:pPr>
        <w:pStyle w:val="Heading1"/>
      </w:pPr>
      <w:r>
        <w:rPr>
          <w:b w:val="0"/>
          <w:i w:val="0"/>
        </w:rPr>
        <w:t>2. Résumé exécutif</w:t>
      </w:r>
    </w:p>
    <w:p>
      <w:pPr/>
      <w:r>
        <w:rPr>
          <w:b w:val="0"/>
          <w:i w:val="0"/>
        </w:rPr>
        <w:t xml:space="preserve">La </w:t>
      </w:r>
      <w:hyperlink r:id="rId10">
        <w:r>
          <w:rPr>
            <w:color w:val="175575"/>
          </w:rPr>
          <w:t>baseline Word</w:t>
        </w:r>
      </w:hyperlink>
      <w:r>
        <w:rPr>
          <w:b w:val="0"/>
          <w:i w:val="0"/>
        </w:rPr>
        <w:t xml:space="preserve"> a été lue intégralement. Elle portait sur </w:t>
      </w:r>
      <w:r>
        <w:rPr>
          <w:rFonts w:ascii="Calibri" w:hAnsi="Calibri"/>
          <w:b w:val="0"/>
          <w:i w:val="0"/>
          <w:sz w:val="18"/>
        </w:rPr>
        <w:t>148d5f85ee26e60cdb10c6351031c89c03fd7ed0</w:t>
      </w:r>
      <w:r>
        <w:rPr>
          <w:b w:val="0"/>
          <w:i w:val="0"/>
        </w:rPr>
        <w:t>, avec un verdict « problèmes importants », 61/100 et treize défauts : sept P1 et six P2.</w:t>
      </w:r>
    </w:p>
    <w:p>
      <w:pPr/>
      <w:r>
        <w:rPr>
          <w:b w:val="0"/>
          <w:i w:val="0"/>
        </w:rPr>
        <w:t xml:space="preserve">Le dépôt actuel est sur </w:t>
      </w:r>
      <w:r>
        <w:rPr>
          <w:rFonts w:ascii="Calibri" w:hAnsi="Calibri"/>
          <w:b w:val="0"/>
          <w:i w:val="0"/>
          <w:sz w:val="18"/>
        </w:rPr>
        <w:t>main</w:t>
      </w:r>
      <w:r>
        <w:rPr>
          <w:b w:val="0"/>
          <w:i w:val="0"/>
        </w:rPr>
        <w:t xml:space="preserve">, au HEAD </w:t>
      </w:r>
      <w:r>
        <w:rPr>
          <w:rFonts w:ascii="Calibri" w:hAnsi="Calibri"/>
          <w:b w:val="0"/>
          <w:i w:val="0"/>
          <w:sz w:val="18"/>
        </w:rPr>
        <w:t>2ba772af1f308ea93c68ffea53b0ccef0e49c57d</w:t>
      </w:r>
      <w:r>
        <w:rPr>
          <w:b w:val="0"/>
          <w:i w:val="0"/>
        </w:rPr>
        <w:t>. Deux commits suivent la référence :</w:t>
      </w:r>
    </w:p>
    <w:p>
      <w:pPr>
        <w:pStyle w:val="ListBullet"/>
      </w:pPr>
      <w:r>
        <w:rPr>
          <w:rFonts w:ascii="Calibri" w:hAnsi="Calibri"/>
          <w:b w:val="0"/>
          <w:i w:val="0"/>
          <w:sz w:val="18"/>
        </w:rPr>
        <w:t>c8bdb8f</w:t>
      </w:r>
      <w:r>
        <w:rPr>
          <w:b w:val="0"/>
          <w:i w:val="0"/>
        </w:rPr>
        <w:t xml:space="preserve"> : corrections des neuf premiers constats traités.</w:t>
      </w:r>
    </w:p>
    <w:p>
      <w:pPr>
        <w:pStyle w:val="ListBullet"/>
      </w:pPr>
      <w:r>
        <w:rPr>
          <w:rFonts w:ascii="Calibri" w:hAnsi="Calibri"/>
          <w:b w:val="0"/>
          <w:i w:val="0"/>
          <w:sz w:val="18"/>
        </w:rPr>
        <w:t>2ba772a</w:t>
      </w:r>
      <w:r>
        <w:rPr>
          <w:b w:val="0"/>
          <w:i w:val="0"/>
        </w:rPr>
        <w:t xml:space="preserve"> : corrections complémentaires et contrôles de livraison.</w:t>
      </w:r>
    </w:p>
    <w:p>
      <w:pPr/>
      <w:r>
        <w:rPr>
          <w:b w:val="0"/>
          <w:i w:val="0"/>
        </w:rPr>
        <w:t>Le diff applicatif et de validation couvre 85 fichiers dans les répertoires et configurations examinés. Les changements touchent principalement les entrées, les synthèses, l’annulation, le stockage, les workers, les textes, les exports et la livraison.</w:t>
      </w:r>
    </w:p>
    <w:p>
      <w:pPr/>
      <w:r>
        <w:rPr>
          <w:b w:val="0"/>
          <w:i w:val="0"/>
        </w:rPr>
        <w:t>Les améliorations sont concrètes : rejet des entrées invalides avant résolution, sections correctement séparées, absence de faux déficit rouge pour les hybrides payables en vert, exclusion du sideboard des cibles principales, annulation durable de Clear, historique protégé et réédition accessible au clavier.</w:t>
      </w:r>
    </w:p>
    <w:p>
      <w:pPr/>
      <w:r>
        <w:rPr>
          <w:b w:val="0"/>
          <w:i w:val="0"/>
        </w:rPr>
        <w:t xml:space="preserve">Cependant, les GET publics renvoient encore l’ancien HTML générique. Quatre fichiers JavaScript publics contrôlés correspondent exactement, par SHA-256, à l’artefact S001. Le candidat S002 possède bien les pages prérendues attendues, mais </w:t>
      </w:r>
      <w:r>
        <w:rPr>
          <w:b/>
          <w:i w:val="0"/>
        </w:rPr>
        <w:t>réussite locale et réussite CI ne prouvent pas sa publication</w:t>
      </w:r>
      <w:r>
        <w:rPr>
          <w:b w:val="0"/>
          <w:i w:val="0"/>
        </w:rPr>
        <w:t>.</w:t>
      </w:r>
    </w:p>
    <w:p>
      <w:pPr>
        <w:pStyle w:val="Heading1"/>
        <w:pageBreakBefore/>
      </w:pPr>
      <w:r>
        <w:rPr>
          <w:b w:val="0"/>
          <w:i w:val="0"/>
        </w:rPr>
        <w:t>3. Score avant / après</w:t>
      </w:r>
    </w:p>
    <w:p>
      <w:pPr/>
      <w:r>
        <w:rPr>
          <w:b w:val="0"/>
          <w:i w:val="0"/>
        </w:rPr>
        <w:t>La méthode historique est conservée : dix domaines sur dix, additionnés sans pondération particulière. La baseline ne définit aucun sous-barème chiffré permettant un recalcul mécanique plus précis.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864"/>
        <w:gridCol w:w="864"/>
        <w:gridCol w:w="936"/>
        <w:gridCol w:w="5141"/>
      </w:tblGrid>
      <w:tr>
        <w:trPr>
          <w:cantSplit/>
          <w:tblHeader/>
        </w:trPr>
        <w:tc>
          <w:tcPr>
            <w:tcW w:type="dxa" w:w="2232"/>
            <w:vAlign w:val="center"/>
            <w:tcMar>
              <w:top w:w="80" w:type="dxa"/>
              <w:bottom w:w="80" w:type="dxa"/>
              <w:left w:w="90" w:type="dxa"/>
              <w:right w:w="90" w:type="dxa"/>
            </w:tcMar>
            <w:shd w:fill="DCE6EB"/>
          </w:tcPr>
          <w:p>
            <w:pPr>
              <w:spacing w:after="0" w:line="247" w:lineRule="auto"/>
            </w:pPr>
            <w:r>
              <w:rPr>
                <w:b/>
                <w:i w:val="0"/>
                <w:sz w:val="18"/>
              </w:rPr>
              <w:t>Domaine</w:t>
            </w:r>
          </w:p>
        </w:tc>
        <w:tc>
          <w:tcPr>
            <w:tcW w:type="dxa" w:w="864"/>
            <w:vAlign w:val="center"/>
            <w:tcMar>
              <w:top w:w="80" w:type="dxa"/>
              <w:bottom w:w="80" w:type="dxa"/>
              <w:left w:w="90" w:type="dxa"/>
              <w:right w:w="90" w:type="dxa"/>
            </w:tcMar>
            <w:shd w:fill="DCE6EB"/>
          </w:tcPr>
          <w:p>
            <w:pPr>
              <w:spacing w:after="0" w:line="247" w:lineRule="auto"/>
              <w:jc w:val="center"/>
            </w:pPr>
            <w:r>
              <w:rPr>
                <w:b/>
                <w:i w:val="0"/>
                <w:sz w:val="18"/>
              </w:rPr>
              <w:t>Note avant</w:t>
            </w:r>
          </w:p>
        </w:tc>
        <w:tc>
          <w:tcPr>
            <w:tcW w:type="dxa" w:w="864"/>
            <w:vAlign w:val="center"/>
            <w:tcMar>
              <w:top w:w="80" w:type="dxa"/>
              <w:bottom w:w="80" w:type="dxa"/>
              <w:left w:w="90" w:type="dxa"/>
              <w:right w:w="90" w:type="dxa"/>
            </w:tcMar>
            <w:shd w:fill="DCE6EB"/>
          </w:tcPr>
          <w:p>
            <w:pPr>
              <w:spacing w:after="0" w:line="247" w:lineRule="auto"/>
              <w:jc w:val="center"/>
            </w:pPr>
            <w:r>
              <w:rPr>
                <w:b/>
                <w:i w:val="0"/>
                <w:sz w:val="18"/>
              </w:rPr>
              <w:t>Note après</w:t>
            </w:r>
          </w:p>
        </w:tc>
        <w:tc>
          <w:tcPr>
            <w:tcW w:type="dxa" w:w="936"/>
            <w:vAlign w:val="center"/>
            <w:tcMar>
              <w:top w:w="80" w:type="dxa"/>
              <w:bottom w:w="80" w:type="dxa"/>
              <w:left w:w="90" w:type="dxa"/>
              <w:right w:w="90" w:type="dxa"/>
            </w:tcMar>
            <w:shd w:fill="DCE6EB"/>
          </w:tcPr>
          <w:p>
            <w:pPr>
              <w:spacing w:after="0" w:line="247" w:lineRule="auto"/>
              <w:jc w:val="center"/>
            </w:pPr>
            <w:r>
              <w:rPr>
                <w:b/>
                <w:i w:val="0"/>
                <w:sz w:val="18"/>
              </w:rPr>
              <w:t>Évolution</w:t>
            </w:r>
          </w:p>
        </w:tc>
        <w:tc>
          <w:tcPr>
            <w:tcW w:type="dxa" w:w="5141"/>
            <w:vAlign w:val="center"/>
            <w:tcMar>
              <w:top w:w="80" w:type="dxa"/>
              <w:bottom w:w="80" w:type="dxa"/>
              <w:left w:w="90" w:type="dxa"/>
              <w:right w:w="90" w:type="dxa"/>
            </w:tcMar>
            <w:shd w:fill="DCE6EB"/>
          </w:tcPr>
          <w:p>
            <w:pPr>
              <w:spacing w:after="0" w:line="247" w:lineRule="auto"/>
            </w:pPr>
            <w:r>
              <w:rPr>
                <w:b/>
                <w:i w:val="0"/>
                <w:sz w:val="18"/>
              </w:rPr>
              <w:t>Principale raison</w:t>
            </w:r>
          </w:p>
        </w:tc>
      </w:tr>
      <w:tr>
        <w:trPr>
          <w:cantSplit/>
        </w:trPr>
        <w:tc>
          <w:tcPr>
            <w:tcW w:type="dxa" w:w="2232"/>
            <w:vAlign w:val="center"/>
            <w:tcMar>
              <w:top w:w="80" w:type="dxa"/>
              <w:bottom w:w="80" w:type="dxa"/>
              <w:left w:w="90" w:type="dxa"/>
              <w:right w:w="90" w:type="dxa"/>
            </w:tcMar>
            <w:shd w:fill="FFFFFF"/>
          </w:tcPr>
          <w:p>
            <w:pPr>
              <w:spacing w:after="0" w:line="247" w:lineRule="auto"/>
            </w:pPr>
            <w:r>
              <w:rPr>
                <w:b w:val="0"/>
                <w:i w:val="0"/>
                <w:sz w:val="18"/>
              </w:rPr>
              <w:t>Fonctionnel</w:t>
            </w:r>
          </w:p>
        </w:tc>
        <w:tc>
          <w:tcPr>
            <w:tcW w:type="dxa" w:w="864"/>
            <w:vAlign w:val="center"/>
            <w:tcMar>
              <w:top w:w="80" w:type="dxa"/>
              <w:bottom w:w="80" w:type="dxa"/>
              <w:left w:w="90" w:type="dxa"/>
              <w:right w:w="90" w:type="dxa"/>
            </w:tcMar>
            <w:shd w:fill="FFFFFF"/>
          </w:tcPr>
          <w:p>
            <w:pPr>
              <w:spacing w:after="0" w:line="247" w:lineRule="auto"/>
              <w:jc w:val="center"/>
            </w:pPr>
            <w:r>
              <w:rPr>
                <w:b w:val="0"/>
                <w:i w:val="0"/>
                <w:sz w:val="18"/>
              </w:rPr>
              <w:t>6/10</w:t>
            </w:r>
          </w:p>
        </w:tc>
        <w:tc>
          <w:tcPr>
            <w:tcW w:type="dxa" w:w="864"/>
            <w:vAlign w:val="center"/>
            <w:tcMar>
              <w:top w:w="80" w:type="dxa"/>
              <w:bottom w:w="80" w:type="dxa"/>
              <w:left w:w="90" w:type="dxa"/>
              <w:right w:w="90" w:type="dxa"/>
            </w:tcMar>
            <w:shd w:fill="FFFFFF"/>
          </w:tcPr>
          <w:p>
            <w:pPr>
              <w:spacing w:after="0" w:line="247" w:lineRule="auto"/>
              <w:jc w:val="center"/>
            </w:pPr>
            <w:r>
              <w:rPr>
                <w:b/>
                <w:i w:val="0"/>
                <w:sz w:val="18"/>
              </w:rPr>
              <w:t>8/10</w:t>
            </w:r>
          </w:p>
        </w:tc>
        <w:tc>
          <w:tcPr>
            <w:tcW w:type="dxa" w:w="936"/>
            <w:vAlign w:val="center"/>
            <w:tcMar>
              <w:top w:w="80" w:type="dxa"/>
              <w:bottom w:w="80" w:type="dxa"/>
              <w:left w:w="90" w:type="dxa"/>
              <w:right w:w="90" w:type="dxa"/>
            </w:tcMar>
            <w:shd w:fill="FFFFFF"/>
          </w:tcPr>
          <w:p>
            <w:pPr>
              <w:spacing w:after="0" w:line="247" w:lineRule="auto"/>
              <w:jc w:val="center"/>
            </w:pPr>
            <w:r>
              <w:rPr>
                <w:b/>
                <w:i w:val="0"/>
                <w:sz w:val="18"/>
              </w:rPr>
              <w:t>+2</w:t>
            </w:r>
          </w:p>
        </w:tc>
        <w:tc>
          <w:tcPr>
            <w:tcW w:type="dxa" w:w="5141"/>
            <w:vAlign w:val="center"/>
            <w:tcMar>
              <w:top w:w="80" w:type="dxa"/>
              <w:bottom w:w="80" w:type="dxa"/>
              <w:left w:w="90" w:type="dxa"/>
              <w:right w:w="90" w:type="dxa"/>
            </w:tcMar>
            <w:shd w:fill="FFFFFF"/>
          </w:tcPr>
          <w:p>
            <w:pPr>
              <w:spacing w:after="0" w:line="247" w:lineRule="auto"/>
            </w:pPr>
            <w:r>
              <w:rPr>
                <w:b w:val="0"/>
                <w:i w:val="0"/>
                <w:sz w:val="18"/>
              </w:rPr>
              <w:t>Sept P1 corrigés ; réserve sur les exports</w:t>
            </w:r>
          </w:p>
        </w:tc>
      </w:tr>
      <w:tr>
        <w:trPr>
          <w:cantSplit/>
        </w:trPr>
        <w:tc>
          <w:tcPr>
            <w:tcW w:type="dxa" w:w="2232"/>
            <w:vAlign w:val="center"/>
            <w:tcMar>
              <w:top w:w="80" w:type="dxa"/>
              <w:bottom w:w="80" w:type="dxa"/>
              <w:left w:w="90" w:type="dxa"/>
              <w:right w:w="90" w:type="dxa"/>
            </w:tcMar>
            <w:shd w:fill="F4F6F7"/>
          </w:tcPr>
          <w:p>
            <w:pPr>
              <w:spacing w:after="0" w:line="247" w:lineRule="auto"/>
            </w:pPr>
            <w:r>
              <w:rPr>
                <w:b w:val="0"/>
                <w:i w:val="0"/>
                <w:sz w:val="18"/>
              </w:rPr>
              <w:t>UX</w:t>
            </w:r>
          </w:p>
        </w:tc>
        <w:tc>
          <w:tcPr>
            <w:tcW w:type="dxa" w:w="864"/>
            <w:vAlign w:val="center"/>
            <w:tcMar>
              <w:top w:w="80" w:type="dxa"/>
              <w:bottom w:w="80" w:type="dxa"/>
              <w:left w:w="90" w:type="dxa"/>
              <w:right w:w="90" w:type="dxa"/>
            </w:tcMar>
            <w:shd w:fill="F4F6F7"/>
          </w:tcPr>
          <w:p>
            <w:pPr>
              <w:spacing w:after="0" w:line="247" w:lineRule="auto"/>
              <w:jc w:val="center"/>
            </w:pPr>
            <w:r>
              <w:rPr>
                <w:b w:val="0"/>
                <w:i w:val="0"/>
                <w:sz w:val="18"/>
              </w:rPr>
              <w:t>6/10</w:t>
            </w:r>
          </w:p>
        </w:tc>
        <w:tc>
          <w:tcPr>
            <w:tcW w:type="dxa" w:w="864"/>
            <w:vAlign w:val="center"/>
            <w:tcMar>
              <w:top w:w="80" w:type="dxa"/>
              <w:bottom w:w="80" w:type="dxa"/>
              <w:left w:w="90" w:type="dxa"/>
              <w:right w:w="90" w:type="dxa"/>
            </w:tcMar>
            <w:shd w:fill="F4F6F7"/>
          </w:tcPr>
          <w:p>
            <w:pPr>
              <w:spacing w:after="0" w:line="247" w:lineRule="auto"/>
              <w:jc w:val="center"/>
            </w:pPr>
            <w:r>
              <w:rPr>
                <w:b/>
                <w:i w:val="0"/>
                <w:sz w:val="18"/>
              </w:rPr>
              <w:t>8/10</w:t>
            </w:r>
          </w:p>
        </w:tc>
        <w:tc>
          <w:tcPr>
            <w:tcW w:type="dxa" w:w="936"/>
            <w:vAlign w:val="center"/>
            <w:tcMar>
              <w:top w:w="80" w:type="dxa"/>
              <w:bottom w:w="80" w:type="dxa"/>
              <w:left w:w="90" w:type="dxa"/>
              <w:right w:w="90" w:type="dxa"/>
            </w:tcMar>
            <w:shd w:fill="F4F6F7"/>
          </w:tcPr>
          <w:p>
            <w:pPr>
              <w:spacing w:after="0" w:line="247" w:lineRule="auto"/>
              <w:jc w:val="center"/>
            </w:pPr>
            <w:r>
              <w:rPr>
                <w:b/>
                <w:i w:val="0"/>
                <w:sz w:val="18"/>
              </w:rPr>
              <w:t>+2</w:t>
            </w:r>
          </w:p>
        </w:tc>
        <w:tc>
          <w:tcPr>
            <w:tcW w:type="dxa" w:w="5141"/>
            <w:vAlign w:val="center"/>
            <w:tcMar>
              <w:top w:w="80" w:type="dxa"/>
              <w:bottom w:w="80" w:type="dxa"/>
              <w:left w:w="90" w:type="dxa"/>
              <w:right w:w="90" w:type="dxa"/>
            </w:tcMar>
            <w:shd w:fill="F4F6F7"/>
          </w:tcPr>
          <w:p>
            <w:pPr>
              <w:spacing w:after="0" w:line="247" w:lineRule="auto"/>
            </w:pPr>
            <w:r>
              <w:rPr>
                <w:b w:val="0"/>
                <w:i w:val="0"/>
                <w:sz w:val="18"/>
              </w:rPr>
              <w:t>Annulation fiable, erreurs utiles, historique récupérable</w:t>
            </w:r>
          </w:p>
        </w:tc>
      </w:tr>
      <w:tr>
        <w:trPr>
          <w:cantSplit/>
        </w:trPr>
        <w:tc>
          <w:tcPr>
            <w:tcW w:type="dxa" w:w="2232"/>
            <w:vAlign w:val="center"/>
            <w:tcMar>
              <w:top w:w="80" w:type="dxa"/>
              <w:bottom w:w="80" w:type="dxa"/>
              <w:left w:w="90" w:type="dxa"/>
              <w:right w:w="90" w:type="dxa"/>
            </w:tcMar>
            <w:shd w:fill="FFFFFF"/>
          </w:tcPr>
          <w:p>
            <w:pPr>
              <w:spacing w:after="0" w:line="247" w:lineRule="auto"/>
            </w:pPr>
            <w:r>
              <w:rPr>
                <w:b w:val="0"/>
                <w:i w:val="0"/>
                <w:sz w:val="18"/>
              </w:rPr>
              <w:t>UI</w:t>
            </w:r>
          </w:p>
        </w:tc>
        <w:tc>
          <w:tcPr>
            <w:tcW w:type="dxa" w:w="864"/>
            <w:vAlign w:val="center"/>
            <w:tcMar>
              <w:top w:w="80" w:type="dxa"/>
              <w:bottom w:w="80" w:type="dxa"/>
              <w:left w:w="90" w:type="dxa"/>
              <w:right w:w="90" w:type="dxa"/>
            </w:tcMar>
            <w:shd w:fill="FFFFFF"/>
          </w:tcPr>
          <w:p>
            <w:pPr>
              <w:spacing w:after="0" w:line="247" w:lineRule="auto"/>
              <w:jc w:val="center"/>
            </w:pPr>
            <w:r>
              <w:rPr>
                <w:b w:val="0"/>
                <w:i w:val="0"/>
                <w:sz w:val="18"/>
              </w:rPr>
              <w:t>7/10</w:t>
            </w:r>
          </w:p>
        </w:tc>
        <w:tc>
          <w:tcPr>
            <w:tcW w:type="dxa" w:w="864"/>
            <w:vAlign w:val="center"/>
            <w:tcMar>
              <w:top w:w="80" w:type="dxa"/>
              <w:bottom w:w="80" w:type="dxa"/>
              <w:left w:w="90" w:type="dxa"/>
              <w:right w:w="90" w:type="dxa"/>
            </w:tcMar>
            <w:shd w:fill="FFFFFF"/>
          </w:tcPr>
          <w:p>
            <w:pPr>
              <w:spacing w:after="0" w:line="247" w:lineRule="auto"/>
              <w:jc w:val="center"/>
            </w:pPr>
            <w:r>
              <w:rPr>
                <w:b/>
                <w:i w:val="0"/>
                <w:sz w:val="18"/>
              </w:rPr>
              <w:t>7/10</w:t>
            </w:r>
          </w:p>
        </w:tc>
        <w:tc>
          <w:tcPr>
            <w:tcW w:type="dxa" w:w="936"/>
            <w:vAlign w:val="center"/>
            <w:tcMar>
              <w:top w:w="80" w:type="dxa"/>
              <w:bottom w:w="80" w:type="dxa"/>
              <w:left w:w="90" w:type="dxa"/>
              <w:right w:w="90" w:type="dxa"/>
            </w:tcMar>
            <w:shd w:fill="FFFFFF"/>
          </w:tcPr>
          <w:p>
            <w:pPr>
              <w:spacing w:after="0" w:line="247" w:lineRule="auto"/>
              <w:jc w:val="center"/>
            </w:pPr>
            <w:r>
              <w:rPr>
                <w:b w:val="0"/>
                <w:i w:val="0"/>
                <w:sz w:val="18"/>
              </w:rPr>
              <w:t>Identique</w:t>
            </w:r>
          </w:p>
        </w:tc>
        <w:tc>
          <w:tcPr>
            <w:tcW w:type="dxa" w:w="5141"/>
            <w:vAlign w:val="center"/>
            <w:tcMar>
              <w:top w:w="80" w:type="dxa"/>
              <w:bottom w:w="80" w:type="dxa"/>
              <w:left w:w="90" w:type="dxa"/>
              <w:right w:w="90" w:type="dxa"/>
            </w:tcMar>
            <w:shd w:fill="FFFFFF"/>
          </w:tcPr>
          <w:p>
            <w:pPr>
              <w:spacing w:after="0" w:line="247" w:lineRule="auto"/>
            </w:pPr>
            <w:r>
              <w:rPr>
                <w:b w:val="0"/>
                <w:i w:val="0"/>
                <w:sz w:val="18"/>
              </w:rPr>
              <w:t>Cohérence améliorée, mais Blueprint encore trompeur/incomplet</w:t>
            </w:r>
          </w:p>
        </w:tc>
      </w:tr>
      <w:tr>
        <w:trPr>
          <w:cantSplit/>
        </w:trPr>
        <w:tc>
          <w:tcPr>
            <w:tcW w:type="dxa" w:w="2232"/>
            <w:vAlign w:val="center"/>
            <w:tcMar>
              <w:top w:w="80" w:type="dxa"/>
              <w:bottom w:w="80" w:type="dxa"/>
              <w:left w:w="90" w:type="dxa"/>
              <w:right w:w="90" w:type="dxa"/>
            </w:tcMar>
            <w:shd w:fill="F4F6F7"/>
          </w:tcPr>
          <w:p>
            <w:pPr>
              <w:spacing w:after="0" w:line="247" w:lineRule="auto"/>
            </w:pPr>
            <w:r>
              <w:rPr>
                <w:b w:val="0"/>
                <w:i w:val="0"/>
                <w:sz w:val="18"/>
              </w:rPr>
              <w:t>Responsive</w:t>
            </w:r>
          </w:p>
        </w:tc>
        <w:tc>
          <w:tcPr>
            <w:tcW w:type="dxa" w:w="864"/>
            <w:vAlign w:val="center"/>
            <w:tcMar>
              <w:top w:w="80" w:type="dxa"/>
              <w:bottom w:w="80" w:type="dxa"/>
              <w:left w:w="90" w:type="dxa"/>
              <w:right w:w="90" w:type="dxa"/>
            </w:tcMar>
            <w:shd w:fill="F4F6F7"/>
          </w:tcPr>
          <w:p>
            <w:pPr>
              <w:spacing w:after="0" w:line="247" w:lineRule="auto"/>
              <w:jc w:val="center"/>
            </w:pPr>
            <w:r>
              <w:rPr>
                <w:b w:val="0"/>
                <w:i w:val="0"/>
                <w:sz w:val="18"/>
              </w:rPr>
              <w:t>7/10</w:t>
            </w:r>
          </w:p>
        </w:tc>
        <w:tc>
          <w:tcPr>
            <w:tcW w:type="dxa" w:w="864"/>
            <w:vAlign w:val="center"/>
            <w:tcMar>
              <w:top w:w="80" w:type="dxa"/>
              <w:bottom w:w="80" w:type="dxa"/>
              <w:left w:w="90" w:type="dxa"/>
              <w:right w:w="90" w:type="dxa"/>
            </w:tcMar>
            <w:shd w:fill="F4F6F7"/>
          </w:tcPr>
          <w:p>
            <w:pPr>
              <w:spacing w:after="0" w:line="247" w:lineRule="auto"/>
              <w:jc w:val="center"/>
            </w:pPr>
            <w:r>
              <w:rPr>
                <w:b/>
                <w:i w:val="0"/>
                <w:sz w:val="18"/>
              </w:rPr>
              <w:t>8/10</w:t>
            </w:r>
          </w:p>
        </w:tc>
        <w:tc>
          <w:tcPr>
            <w:tcW w:type="dxa" w:w="936"/>
            <w:vAlign w:val="center"/>
            <w:tcMar>
              <w:top w:w="80" w:type="dxa"/>
              <w:bottom w:w="80" w:type="dxa"/>
              <w:left w:w="90" w:type="dxa"/>
              <w:right w:w="90" w:type="dxa"/>
            </w:tcMar>
            <w:shd w:fill="F4F6F7"/>
          </w:tcPr>
          <w:p>
            <w:pPr>
              <w:spacing w:after="0" w:line="247" w:lineRule="auto"/>
              <w:jc w:val="center"/>
            </w:pPr>
            <w:r>
              <w:rPr>
                <w:b/>
                <w:i w:val="0"/>
                <w:sz w:val="18"/>
              </w:rPr>
              <w:t>+1</w:t>
            </w:r>
          </w:p>
        </w:tc>
        <w:tc>
          <w:tcPr>
            <w:tcW w:type="dxa" w:w="5141"/>
            <w:vAlign w:val="center"/>
            <w:tcMar>
              <w:top w:w="80" w:type="dxa"/>
              <w:bottom w:w="80" w:type="dxa"/>
              <w:left w:w="90" w:type="dxa"/>
              <w:right w:w="90" w:type="dxa"/>
            </w:tcMar>
            <w:shd w:fill="F4F6F7"/>
          </w:tcPr>
          <w:p>
            <w:pPr>
              <w:spacing w:after="0" w:line="247" w:lineRule="auto"/>
            </w:pPr>
            <w:r>
              <w:rPr>
                <w:b w:val="0"/>
                <w:i w:val="0"/>
                <w:sz w:val="18"/>
              </w:rPr>
              <w:t>Libellés Manabase complets et utilisables à 360 px</w:t>
            </w:r>
          </w:p>
        </w:tc>
      </w:tr>
      <w:tr>
        <w:trPr>
          <w:cantSplit/>
        </w:trPr>
        <w:tc>
          <w:tcPr>
            <w:tcW w:type="dxa" w:w="2232"/>
            <w:vAlign w:val="center"/>
            <w:tcMar>
              <w:top w:w="80" w:type="dxa"/>
              <w:bottom w:w="80" w:type="dxa"/>
              <w:left w:w="90" w:type="dxa"/>
              <w:right w:w="90" w:type="dxa"/>
            </w:tcMar>
            <w:shd w:fill="FFFFFF"/>
          </w:tcPr>
          <w:p>
            <w:pPr>
              <w:spacing w:after="0" w:line="247" w:lineRule="auto"/>
            </w:pPr>
            <w:r>
              <w:rPr>
                <w:b w:val="0"/>
                <w:i w:val="0"/>
                <w:sz w:val="18"/>
              </w:rPr>
              <w:t>Accessibilité</w:t>
            </w:r>
          </w:p>
        </w:tc>
        <w:tc>
          <w:tcPr>
            <w:tcW w:type="dxa" w:w="864"/>
            <w:vAlign w:val="center"/>
            <w:tcMar>
              <w:top w:w="80" w:type="dxa"/>
              <w:bottom w:w="80" w:type="dxa"/>
              <w:left w:w="90" w:type="dxa"/>
              <w:right w:w="90" w:type="dxa"/>
            </w:tcMar>
            <w:shd w:fill="FFFFFF"/>
          </w:tcPr>
          <w:p>
            <w:pPr>
              <w:spacing w:after="0" w:line="247" w:lineRule="auto"/>
              <w:jc w:val="center"/>
            </w:pPr>
            <w:r>
              <w:rPr>
                <w:b w:val="0"/>
                <w:i w:val="0"/>
                <w:sz w:val="18"/>
              </w:rPr>
              <w:t>4/10</w:t>
            </w:r>
          </w:p>
        </w:tc>
        <w:tc>
          <w:tcPr>
            <w:tcW w:type="dxa" w:w="864"/>
            <w:vAlign w:val="center"/>
            <w:tcMar>
              <w:top w:w="80" w:type="dxa"/>
              <w:bottom w:w="80" w:type="dxa"/>
              <w:left w:w="90" w:type="dxa"/>
              <w:right w:w="90" w:type="dxa"/>
            </w:tcMar>
            <w:shd w:fill="FFFFFF"/>
          </w:tcPr>
          <w:p>
            <w:pPr>
              <w:spacing w:after="0" w:line="247" w:lineRule="auto"/>
              <w:jc w:val="center"/>
            </w:pPr>
            <w:r>
              <w:rPr>
                <w:b/>
                <w:i w:val="0"/>
                <w:sz w:val="18"/>
              </w:rPr>
              <w:t>7/10</w:t>
            </w:r>
          </w:p>
        </w:tc>
        <w:tc>
          <w:tcPr>
            <w:tcW w:type="dxa" w:w="936"/>
            <w:vAlign w:val="center"/>
            <w:tcMar>
              <w:top w:w="80" w:type="dxa"/>
              <w:bottom w:w="80" w:type="dxa"/>
              <w:left w:w="90" w:type="dxa"/>
              <w:right w:w="90" w:type="dxa"/>
            </w:tcMar>
            <w:shd w:fill="FFFFFF"/>
          </w:tcPr>
          <w:p>
            <w:pPr>
              <w:spacing w:after="0" w:line="247" w:lineRule="auto"/>
              <w:jc w:val="center"/>
            </w:pPr>
            <w:r>
              <w:rPr>
                <w:b/>
                <w:i w:val="0"/>
                <w:sz w:val="18"/>
              </w:rPr>
              <w:t>+3</w:t>
            </w:r>
          </w:p>
        </w:tc>
        <w:tc>
          <w:tcPr>
            <w:tcW w:type="dxa" w:w="5141"/>
            <w:vAlign w:val="center"/>
            <w:tcMar>
              <w:top w:w="80" w:type="dxa"/>
              <w:bottom w:w="80" w:type="dxa"/>
              <w:left w:w="90" w:type="dxa"/>
              <w:right w:w="90" w:type="dxa"/>
            </w:tcMar>
            <w:shd w:fill="FFFFFF"/>
          </w:tcPr>
          <w:p>
            <w:pPr>
              <w:spacing w:after="0" w:line="247" w:lineRule="auto"/>
            </w:pPr>
            <w:r>
              <w:rPr>
                <w:b w:val="0"/>
                <w:i w:val="0"/>
                <w:sz w:val="18"/>
              </w:rPr>
              <w:t>Réédition clavier rétablie et contrôles renforcés</w:t>
            </w:r>
          </w:p>
        </w:tc>
      </w:tr>
      <w:tr>
        <w:trPr>
          <w:cantSplit/>
        </w:trPr>
        <w:tc>
          <w:tcPr>
            <w:tcW w:type="dxa" w:w="2232"/>
            <w:vAlign w:val="center"/>
            <w:tcMar>
              <w:top w:w="80" w:type="dxa"/>
              <w:bottom w:w="80" w:type="dxa"/>
              <w:left w:w="90" w:type="dxa"/>
              <w:right w:w="90" w:type="dxa"/>
            </w:tcMar>
            <w:shd w:fill="F4F6F7"/>
          </w:tcPr>
          <w:p>
            <w:pPr>
              <w:spacing w:after="0" w:line="247" w:lineRule="auto"/>
            </w:pPr>
            <w:r>
              <w:rPr>
                <w:b w:val="0"/>
                <w:i w:val="0"/>
                <w:sz w:val="18"/>
              </w:rPr>
              <w:t>Performance</w:t>
            </w:r>
          </w:p>
        </w:tc>
        <w:tc>
          <w:tcPr>
            <w:tcW w:type="dxa" w:w="864"/>
            <w:vAlign w:val="center"/>
            <w:tcMar>
              <w:top w:w="80" w:type="dxa"/>
              <w:bottom w:w="80" w:type="dxa"/>
              <w:left w:w="90" w:type="dxa"/>
              <w:right w:w="90" w:type="dxa"/>
            </w:tcMar>
            <w:shd w:fill="F4F6F7"/>
          </w:tcPr>
          <w:p>
            <w:pPr>
              <w:spacing w:after="0" w:line="247" w:lineRule="auto"/>
              <w:jc w:val="center"/>
            </w:pPr>
            <w:r>
              <w:rPr>
                <w:b w:val="0"/>
                <w:i w:val="0"/>
                <w:sz w:val="18"/>
              </w:rPr>
              <w:t>6/10</w:t>
            </w:r>
          </w:p>
        </w:tc>
        <w:tc>
          <w:tcPr>
            <w:tcW w:type="dxa" w:w="864"/>
            <w:vAlign w:val="center"/>
            <w:tcMar>
              <w:top w:w="80" w:type="dxa"/>
              <w:bottom w:w="80" w:type="dxa"/>
              <w:left w:w="90" w:type="dxa"/>
              <w:right w:w="90" w:type="dxa"/>
            </w:tcMar>
            <w:shd w:fill="F4F6F7"/>
          </w:tcPr>
          <w:p>
            <w:pPr>
              <w:spacing w:after="0" w:line="247" w:lineRule="auto"/>
              <w:jc w:val="center"/>
            </w:pPr>
            <w:r>
              <w:rPr>
                <w:b/>
                <w:i w:val="0"/>
                <w:sz w:val="18"/>
              </w:rPr>
              <w:t>7/10</w:t>
            </w:r>
          </w:p>
        </w:tc>
        <w:tc>
          <w:tcPr>
            <w:tcW w:type="dxa" w:w="936"/>
            <w:vAlign w:val="center"/>
            <w:tcMar>
              <w:top w:w="80" w:type="dxa"/>
              <w:bottom w:w="80" w:type="dxa"/>
              <w:left w:w="90" w:type="dxa"/>
              <w:right w:w="90" w:type="dxa"/>
            </w:tcMar>
            <w:shd w:fill="F4F6F7"/>
          </w:tcPr>
          <w:p>
            <w:pPr>
              <w:spacing w:after="0" w:line="247" w:lineRule="auto"/>
              <w:jc w:val="center"/>
            </w:pPr>
            <w:r>
              <w:rPr>
                <w:b/>
                <w:i w:val="0"/>
                <w:sz w:val="18"/>
              </w:rPr>
              <w:t>+1</w:t>
            </w:r>
          </w:p>
        </w:tc>
        <w:tc>
          <w:tcPr>
            <w:tcW w:type="dxa" w:w="5141"/>
            <w:vAlign w:val="center"/>
            <w:tcMar>
              <w:top w:w="80" w:type="dxa"/>
              <w:bottom w:w="80" w:type="dxa"/>
              <w:left w:w="90" w:type="dxa"/>
              <w:right w:w="90" w:type="dxa"/>
            </w:tcMar>
            <w:shd w:fill="F4F6F7"/>
          </w:tcPr>
          <w:p>
            <w:pPr>
              <w:spacing w:after="0" w:line="247" w:lineRule="auto"/>
            </w:pPr>
            <w:r>
              <w:rPr>
                <w:b w:val="0"/>
                <w:i w:val="0"/>
                <w:sz w:val="18"/>
              </w:rPr>
              <w:t>Entrées bornées et réseau annulable ; CWV non mesurés</w:t>
            </w:r>
          </w:p>
        </w:tc>
      </w:tr>
      <w:tr>
        <w:trPr>
          <w:cantSplit/>
        </w:trPr>
        <w:tc>
          <w:tcPr>
            <w:tcW w:type="dxa" w:w="2232"/>
            <w:vAlign w:val="center"/>
            <w:tcMar>
              <w:top w:w="80" w:type="dxa"/>
              <w:bottom w:w="80" w:type="dxa"/>
              <w:left w:w="90" w:type="dxa"/>
              <w:right w:w="90" w:type="dxa"/>
            </w:tcMar>
            <w:shd w:fill="FFFFFF"/>
          </w:tcPr>
          <w:p>
            <w:pPr>
              <w:spacing w:after="0" w:line="247" w:lineRule="auto"/>
            </w:pPr>
            <w:r>
              <w:rPr>
                <w:b w:val="0"/>
                <w:i w:val="0"/>
                <w:sz w:val="18"/>
              </w:rPr>
              <w:t>Sécurité</w:t>
            </w:r>
          </w:p>
        </w:tc>
        <w:tc>
          <w:tcPr>
            <w:tcW w:type="dxa" w:w="864"/>
            <w:vAlign w:val="center"/>
            <w:tcMar>
              <w:top w:w="80" w:type="dxa"/>
              <w:bottom w:w="80" w:type="dxa"/>
              <w:left w:w="90" w:type="dxa"/>
              <w:right w:w="90" w:type="dxa"/>
            </w:tcMar>
            <w:shd w:fill="FFFFFF"/>
          </w:tcPr>
          <w:p>
            <w:pPr>
              <w:spacing w:after="0" w:line="247" w:lineRule="auto"/>
              <w:jc w:val="center"/>
            </w:pPr>
            <w:r>
              <w:rPr>
                <w:b w:val="0"/>
                <w:i w:val="0"/>
                <w:sz w:val="18"/>
              </w:rPr>
              <w:t>8/10</w:t>
            </w:r>
          </w:p>
        </w:tc>
        <w:tc>
          <w:tcPr>
            <w:tcW w:type="dxa" w:w="864"/>
            <w:vAlign w:val="center"/>
            <w:tcMar>
              <w:top w:w="80" w:type="dxa"/>
              <w:bottom w:w="80" w:type="dxa"/>
              <w:left w:w="90" w:type="dxa"/>
              <w:right w:w="90" w:type="dxa"/>
            </w:tcMar>
            <w:shd w:fill="FFFFFF"/>
          </w:tcPr>
          <w:p>
            <w:pPr>
              <w:spacing w:after="0" w:line="247" w:lineRule="auto"/>
              <w:jc w:val="center"/>
            </w:pPr>
            <w:r>
              <w:rPr>
                <w:b/>
                <w:i w:val="0"/>
                <w:sz w:val="18"/>
              </w:rPr>
              <w:t>8/10</w:t>
            </w:r>
          </w:p>
        </w:tc>
        <w:tc>
          <w:tcPr>
            <w:tcW w:type="dxa" w:w="936"/>
            <w:vAlign w:val="center"/>
            <w:tcMar>
              <w:top w:w="80" w:type="dxa"/>
              <w:bottom w:w="80" w:type="dxa"/>
              <w:left w:w="90" w:type="dxa"/>
              <w:right w:w="90" w:type="dxa"/>
            </w:tcMar>
            <w:shd w:fill="FFFFFF"/>
          </w:tcPr>
          <w:p>
            <w:pPr>
              <w:spacing w:after="0" w:line="247" w:lineRule="auto"/>
              <w:jc w:val="center"/>
            </w:pPr>
            <w:r>
              <w:rPr>
                <w:b w:val="0"/>
                <w:i w:val="0"/>
                <w:sz w:val="18"/>
              </w:rPr>
              <w:t>Identique</w:t>
            </w:r>
          </w:p>
        </w:tc>
        <w:tc>
          <w:tcPr>
            <w:tcW w:type="dxa" w:w="5141"/>
            <w:vAlign w:val="center"/>
            <w:tcMar>
              <w:top w:w="80" w:type="dxa"/>
              <w:bottom w:w="80" w:type="dxa"/>
              <w:left w:w="90" w:type="dxa"/>
              <w:right w:w="90" w:type="dxa"/>
            </w:tcMar>
            <w:shd w:fill="FFFFFF"/>
          </w:tcPr>
          <w:p>
            <w:pPr>
              <w:spacing w:after="0" w:line="247" w:lineRule="auto"/>
            </w:pPr>
            <w:r>
              <w:rPr>
                <w:b w:val="0"/>
                <w:i w:val="0"/>
                <w:sz w:val="18"/>
              </w:rPr>
              <w:t>Entrées/imports renforcés ; périmètre global toujours limité</w:t>
            </w:r>
          </w:p>
        </w:tc>
      </w:tr>
      <w:tr>
        <w:trPr>
          <w:cantSplit/>
        </w:trPr>
        <w:tc>
          <w:tcPr>
            <w:tcW w:type="dxa" w:w="2232"/>
            <w:vAlign w:val="center"/>
            <w:tcMar>
              <w:top w:w="80" w:type="dxa"/>
              <w:bottom w:w="80" w:type="dxa"/>
              <w:left w:w="90" w:type="dxa"/>
              <w:right w:w="90" w:type="dxa"/>
            </w:tcMar>
            <w:shd w:fill="F4F6F7"/>
          </w:tcPr>
          <w:p>
            <w:pPr>
              <w:spacing w:after="0" w:line="247" w:lineRule="auto"/>
            </w:pPr>
            <w:r>
              <w:rPr>
                <w:b w:val="0"/>
                <w:i w:val="0"/>
                <w:sz w:val="18"/>
              </w:rPr>
              <w:t>SEO</w:t>
            </w:r>
          </w:p>
        </w:tc>
        <w:tc>
          <w:tcPr>
            <w:tcW w:type="dxa" w:w="864"/>
            <w:vAlign w:val="center"/>
            <w:tcMar>
              <w:top w:w="80" w:type="dxa"/>
              <w:bottom w:w="80" w:type="dxa"/>
              <w:left w:w="90" w:type="dxa"/>
              <w:right w:w="90" w:type="dxa"/>
            </w:tcMar>
            <w:shd w:fill="F4F6F7"/>
          </w:tcPr>
          <w:p>
            <w:pPr>
              <w:spacing w:after="0" w:line="247" w:lineRule="auto"/>
              <w:jc w:val="center"/>
            </w:pPr>
            <w:r>
              <w:rPr>
                <w:b w:val="0"/>
                <w:i w:val="0"/>
                <w:sz w:val="18"/>
              </w:rPr>
              <w:t>4/10</w:t>
            </w:r>
          </w:p>
        </w:tc>
        <w:tc>
          <w:tcPr>
            <w:tcW w:type="dxa" w:w="864"/>
            <w:vAlign w:val="center"/>
            <w:tcMar>
              <w:top w:w="80" w:type="dxa"/>
              <w:bottom w:w="80" w:type="dxa"/>
              <w:left w:w="90" w:type="dxa"/>
              <w:right w:w="90" w:type="dxa"/>
            </w:tcMar>
            <w:shd w:fill="F4F6F7"/>
          </w:tcPr>
          <w:p>
            <w:pPr>
              <w:spacing w:after="0" w:line="247" w:lineRule="auto"/>
              <w:jc w:val="center"/>
            </w:pPr>
            <w:r>
              <w:rPr>
                <w:b/>
                <w:i w:val="0"/>
                <w:sz w:val="18"/>
              </w:rPr>
              <w:t>4/10</w:t>
            </w:r>
          </w:p>
        </w:tc>
        <w:tc>
          <w:tcPr>
            <w:tcW w:type="dxa" w:w="936"/>
            <w:vAlign w:val="center"/>
            <w:tcMar>
              <w:top w:w="80" w:type="dxa"/>
              <w:bottom w:w="80" w:type="dxa"/>
              <w:left w:w="90" w:type="dxa"/>
              <w:right w:w="90" w:type="dxa"/>
            </w:tcMar>
            <w:shd w:fill="F4F6F7"/>
          </w:tcPr>
          <w:p>
            <w:pPr>
              <w:spacing w:after="0" w:line="247" w:lineRule="auto"/>
              <w:jc w:val="center"/>
            </w:pPr>
            <w:r>
              <w:rPr>
                <w:b w:val="0"/>
                <w:i w:val="0"/>
                <w:sz w:val="18"/>
              </w:rPr>
              <w:t>Identique</w:t>
            </w:r>
          </w:p>
        </w:tc>
        <w:tc>
          <w:tcPr>
            <w:tcW w:type="dxa" w:w="5141"/>
            <w:vAlign w:val="center"/>
            <w:tcMar>
              <w:top w:w="80" w:type="dxa"/>
              <w:bottom w:w="80" w:type="dxa"/>
              <w:left w:w="90" w:type="dxa"/>
              <w:right w:w="90" w:type="dxa"/>
            </w:tcMar>
            <w:shd w:fill="F4F6F7"/>
          </w:tcPr>
          <w:p>
            <w:pPr>
              <w:spacing w:after="0" w:line="247" w:lineRule="auto"/>
            </w:pPr>
            <w:r>
              <w:rPr>
                <w:b w:val="0"/>
                <w:i w:val="0"/>
                <w:sz w:val="18"/>
              </w:rPr>
              <w:t>Candidat corrigé, défaut public toujours observable</w:t>
            </w:r>
          </w:p>
        </w:tc>
      </w:tr>
      <w:tr>
        <w:trPr>
          <w:cantSplit/>
        </w:trPr>
        <w:tc>
          <w:tcPr>
            <w:tcW w:type="dxa" w:w="2232"/>
            <w:vAlign w:val="center"/>
            <w:tcMar>
              <w:top w:w="80" w:type="dxa"/>
              <w:bottom w:w="80" w:type="dxa"/>
              <w:left w:w="90" w:type="dxa"/>
              <w:right w:w="90" w:type="dxa"/>
            </w:tcMar>
            <w:shd w:fill="FFFFFF"/>
          </w:tcPr>
          <w:p>
            <w:pPr>
              <w:spacing w:after="0" w:line="247" w:lineRule="auto"/>
            </w:pPr>
            <w:r>
              <w:rPr>
                <w:b w:val="0"/>
                <w:i w:val="0"/>
                <w:sz w:val="18"/>
              </w:rPr>
              <w:t>Qualité du code</w:t>
            </w:r>
          </w:p>
        </w:tc>
        <w:tc>
          <w:tcPr>
            <w:tcW w:type="dxa" w:w="864"/>
            <w:vAlign w:val="center"/>
            <w:tcMar>
              <w:top w:w="80" w:type="dxa"/>
              <w:bottom w:w="80" w:type="dxa"/>
              <w:left w:w="90" w:type="dxa"/>
              <w:right w:w="90" w:type="dxa"/>
            </w:tcMar>
            <w:shd w:fill="FFFFFF"/>
          </w:tcPr>
          <w:p>
            <w:pPr>
              <w:spacing w:after="0" w:line="247" w:lineRule="auto"/>
              <w:jc w:val="center"/>
            </w:pPr>
            <w:r>
              <w:rPr>
                <w:b w:val="0"/>
                <w:i w:val="0"/>
                <w:sz w:val="18"/>
              </w:rPr>
              <w:t>6/10</w:t>
            </w:r>
          </w:p>
        </w:tc>
        <w:tc>
          <w:tcPr>
            <w:tcW w:type="dxa" w:w="864"/>
            <w:vAlign w:val="center"/>
            <w:tcMar>
              <w:top w:w="80" w:type="dxa"/>
              <w:bottom w:w="80" w:type="dxa"/>
              <w:left w:w="90" w:type="dxa"/>
              <w:right w:w="90" w:type="dxa"/>
            </w:tcMar>
            <w:shd w:fill="FFFFFF"/>
          </w:tcPr>
          <w:p>
            <w:pPr>
              <w:spacing w:after="0" w:line="247" w:lineRule="auto"/>
              <w:jc w:val="center"/>
            </w:pPr>
            <w:r>
              <w:rPr>
                <w:b/>
                <w:i w:val="0"/>
                <w:sz w:val="18"/>
              </w:rPr>
              <w:t>7/10</w:t>
            </w:r>
          </w:p>
        </w:tc>
        <w:tc>
          <w:tcPr>
            <w:tcW w:type="dxa" w:w="936"/>
            <w:vAlign w:val="center"/>
            <w:tcMar>
              <w:top w:w="80" w:type="dxa"/>
              <w:bottom w:w="80" w:type="dxa"/>
              <w:left w:w="90" w:type="dxa"/>
              <w:right w:w="90" w:type="dxa"/>
            </w:tcMar>
            <w:shd w:fill="FFFFFF"/>
          </w:tcPr>
          <w:p>
            <w:pPr>
              <w:spacing w:after="0" w:line="247" w:lineRule="auto"/>
              <w:jc w:val="center"/>
            </w:pPr>
            <w:r>
              <w:rPr>
                <w:b/>
                <w:i w:val="0"/>
                <w:sz w:val="18"/>
              </w:rPr>
              <w:t>+1</w:t>
            </w:r>
          </w:p>
        </w:tc>
        <w:tc>
          <w:tcPr>
            <w:tcW w:type="dxa" w:w="5141"/>
            <w:vAlign w:val="center"/>
            <w:tcMar>
              <w:top w:w="80" w:type="dxa"/>
              <w:bottom w:w="80" w:type="dxa"/>
              <w:left w:w="90" w:type="dxa"/>
              <w:right w:w="90" w:type="dxa"/>
            </w:tcMar>
            <w:shd w:fill="FFFFFF"/>
          </w:tcPr>
          <w:p>
            <w:pPr>
              <w:spacing w:after="0" w:line="247" w:lineRule="auto"/>
            </w:pPr>
            <w:r>
              <w:rPr>
                <w:b w:val="0"/>
                <w:i w:val="0"/>
                <w:sz w:val="18"/>
              </w:rPr>
              <w:t>Contrats mieux centralisés ; dette structurelle restante</w:t>
            </w:r>
          </w:p>
        </w:tc>
      </w:tr>
      <w:tr>
        <w:trPr>
          <w:cantSplit/>
        </w:trPr>
        <w:tc>
          <w:tcPr>
            <w:tcW w:type="dxa" w:w="2232"/>
            <w:vAlign w:val="center"/>
            <w:tcMar>
              <w:top w:w="80" w:type="dxa"/>
              <w:bottom w:w="80" w:type="dxa"/>
              <w:left w:w="90" w:type="dxa"/>
              <w:right w:w="90" w:type="dxa"/>
            </w:tcMar>
            <w:shd w:fill="F4F6F7"/>
          </w:tcPr>
          <w:p>
            <w:pPr>
              <w:spacing w:after="0" w:line="247" w:lineRule="auto"/>
            </w:pPr>
            <w:r>
              <w:rPr>
                <w:b w:val="0"/>
                <w:i w:val="0"/>
                <w:sz w:val="18"/>
              </w:rPr>
              <w:t>Tests et robustesse</w:t>
            </w:r>
          </w:p>
        </w:tc>
        <w:tc>
          <w:tcPr>
            <w:tcW w:type="dxa" w:w="864"/>
            <w:vAlign w:val="center"/>
            <w:tcMar>
              <w:top w:w="80" w:type="dxa"/>
              <w:bottom w:w="80" w:type="dxa"/>
              <w:left w:w="90" w:type="dxa"/>
              <w:right w:w="90" w:type="dxa"/>
            </w:tcMar>
            <w:shd w:fill="F4F6F7"/>
          </w:tcPr>
          <w:p>
            <w:pPr>
              <w:spacing w:after="0" w:line="247" w:lineRule="auto"/>
              <w:jc w:val="center"/>
            </w:pPr>
            <w:r>
              <w:rPr>
                <w:b w:val="0"/>
                <w:i w:val="0"/>
                <w:sz w:val="18"/>
              </w:rPr>
              <w:t>7/10</w:t>
            </w:r>
          </w:p>
        </w:tc>
        <w:tc>
          <w:tcPr>
            <w:tcW w:type="dxa" w:w="864"/>
            <w:vAlign w:val="center"/>
            <w:tcMar>
              <w:top w:w="80" w:type="dxa"/>
              <w:bottom w:w="80" w:type="dxa"/>
              <w:left w:w="90" w:type="dxa"/>
              <w:right w:w="90" w:type="dxa"/>
            </w:tcMar>
            <w:shd w:fill="F4F6F7"/>
          </w:tcPr>
          <w:p>
            <w:pPr>
              <w:spacing w:after="0" w:line="247" w:lineRule="auto"/>
              <w:jc w:val="center"/>
            </w:pPr>
            <w:r>
              <w:rPr>
                <w:b/>
                <w:i w:val="0"/>
                <w:sz w:val="18"/>
              </w:rPr>
              <w:t>8/10</w:t>
            </w:r>
          </w:p>
        </w:tc>
        <w:tc>
          <w:tcPr>
            <w:tcW w:type="dxa" w:w="936"/>
            <w:vAlign w:val="center"/>
            <w:tcMar>
              <w:top w:w="80" w:type="dxa"/>
              <w:bottom w:w="80" w:type="dxa"/>
              <w:left w:w="90" w:type="dxa"/>
              <w:right w:w="90" w:type="dxa"/>
            </w:tcMar>
            <w:shd w:fill="F4F6F7"/>
          </w:tcPr>
          <w:p>
            <w:pPr>
              <w:spacing w:after="0" w:line="247" w:lineRule="auto"/>
              <w:jc w:val="center"/>
            </w:pPr>
            <w:r>
              <w:rPr>
                <w:b/>
                <w:i w:val="0"/>
                <w:sz w:val="18"/>
              </w:rPr>
              <w:t>+1</w:t>
            </w:r>
          </w:p>
        </w:tc>
        <w:tc>
          <w:tcPr>
            <w:tcW w:type="dxa" w:w="5141"/>
            <w:vAlign w:val="center"/>
            <w:tcMar>
              <w:top w:w="80" w:type="dxa"/>
              <w:bottom w:w="80" w:type="dxa"/>
              <w:left w:w="90" w:type="dxa"/>
              <w:right w:w="90" w:type="dxa"/>
            </w:tcMar>
            <w:shd w:fill="F4F6F7"/>
          </w:tcPr>
          <w:p>
            <w:pPr>
              <w:spacing w:after="0" w:line="247" w:lineRule="auto"/>
            </w:pPr>
            <w:r>
              <w:rPr>
                <w:b w:val="0"/>
                <w:i w:val="0"/>
                <w:sz w:val="18"/>
              </w:rPr>
              <w:t>Tests ciblés pertinents et livraison bloquante ; angles morts exports</w:t>
            </w:r>
          </w:p>
        </w:tc>
      </w:tr>
    </w:tbl>
    <w:p>
      <w:pPr>
        <w:spacing w:after="40"/>
      </w:pPr>
    </w:p>
    <w:p>
      <w:pPr/>
      <w:r>
        <w:rPr>
          <w:b/>
          <w:i w:val="0"/>
        </w:rPr>
        <w:t>Sept domaines progressent, trois restent identiques, aucun ne diminue globalement.</w:t>
      </w:r>
      <w:r>
        <w:rPr>
          <w:b w:val="0"/>
          <w:i w:val="0"/>
        </w:rPr>
        <w:t xml:space="preserve"> Cela n’exclut pas une régression localisée.</w:t>
      </w:r>
    </w:p>
    <w:p>
      <w:pPr>
        <w:pStyle w:val="Heading1"/>
      </w:pPr>
      <w:r>
        <w:rPr>
          <w:b w:val="0"/>
          <w:i w:val="0"/>
        </w:rPr>
        <w:t>4. Score global</w:t>
      </w:r>
    </w:p>
    <w:p>
      <w:pPr/>
      <w:r>
        <w:rPr>
          <w:b/>
          <w:i w:val="0"/>
        </w:rPr>
        <w:t>AVANT : 61/100</w:t>
      </w:r>
    </w:p>
    <w:p>
      <w:pPr/>
      <w:r>
        <w:rPr>
          <w:b/>
          <w:i w:val="0"/>
        </w:rPr>
        <w:t>APRÈS : 72/100</w:t>
      </w:r>
    </w:p>
    <w:p>
      <w:pPr/>
      <w:r>
        <w:rPr>
          <w:b/>
          <w:i w:val="0"/>
        </w:rPr>
        <w:t>GAIN : +11 points</w:t>
      </w:r>
    </w:p>
    <w:p>
      <w:pPr/>
      <w:r>
        <w:rPr>
          <w:b w:val="0"/>
          <w:i w:val="0"/>
        </w:rPr>
        <w:t>Le maintien du SEO à 4/10 est volontaire : accorder les points du prérendu au site public contredirait les réponses HTTP constatées.</w:t>
      </w:r>
    </w:p>
    <w:p>
      <w:pPr/>
      <w:r>
        <w:rPr>
          <w:b w:val="0"/>
          <w:i w:val="0"/>
        </w:rPr>
        <w:t xml:space="preserve">Ce total reste, comme dans la baseline, un </w:t>
      </w:r>
      <w:r>
        <w:rPr>
          <w:b/>
          <w:i w:val="0"/>
        </w:rPr>
        <w:t>indicateur de préparation</w:t>
      </w:r>
      <w:r>
        <w:rPr>
          <w:b w:val="0"/>
          <w:i w:val="0"/>
        </w:rPr>
        <w:t>, pas une certification de production.</w:t>
      </w:r>
    </w:p>
    <w:p>
      <w:pPr>
        <w:pStyle w:val="Heading1"/>
      </w:pPr>
      <w:r>
        <w:rPr>
          <w:b w:val="0"/>
          <w:i w:val="0"/>
        </w:rPr>
        <w:t>5. Évolution par domaine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20"/>
        <w:gridCol w:w="3917"/>
      </w:tblGrid>
      <w:tr>
        <w:trPr>
          <w:cantSplit/>
          <w:tblHeader/>
        </w:trPr>
        <w:tc>
          <w:tcPr>
            <w:tcW w:type="dxa" w:w="1800"/>
            <w:vAlign w:val="center"/>
            <w:tcMar>
              <w:top w:w="80" w:type="dxa"/>
              <w:bottom w:w="80" w:type="dxa"/>
              <w:left w:w="90" w:type="dxa"/>
              <w:right w:w="90" w:type="dxa"/>
            </w:tcMar>
            <w:shd w:fill="DCE6EB"/>
          </w:tcPr>
          <w:p>
            <w:pPr>
              <w:spacing w:after="0" w:line="247" w:lineRule="auto"/>
            </w:pPr>
            <w:r>
              <w:rPr>
                <w:b/>
                <w:i w:val="0"/>
                <w:sz w:val="18"/>
              </w:rPr>
              <w:t>Domaine</w:t>
            </w:r>
          </w:p>
        </w:tc>
        <w:tc>
          <w:tcPr>
            <w:tcW w:type="dxa" w:w="4320"/>
            <w:vAlign w:val="center"/>
            <w:tcMar>
              <w:top w:w="80" w:type="dxa"/>
              <w:bottom w:w="80" w:type="dxa"/>
              <w:left w:w="90" w:type="dxa"/>
              <w:right w:w="90" w:type="dxa"/>
            </w:tcMar>
            <w:shd w:fill="DCE6EB"/>
          </w:tcPr>
          <w:p>
            <w:pPr>
              <w:spacing w:after="0" w:line="247" w:lineRule="auto"/>
            </w:pPr>
            <w:r>
              <w:rPr>
                <w:b/>
                <w:i w:val="0"/>
                <w:sz w:val="18"/>
              </w:rPr>
              <w:t>Justification et preuves</w:t>
            </w:r>
          </w:p>
        </w:tc>
        <w:tc>
          <w:tcPr>
            <w:tcW w:type="dxa" w:w="3917"/>
            <w:vAlign w:val="center"/>
            <w:tcMar>
              <w:top w:w="80" w:type="dxa"/>
              <w:bottom w:w="80" w:type="dxa"/>
              <w:left w:w="90" w:type="dxa"/>
              <w:right w:w="90" w:type="dxa"/>
            </w:tcMar>
            <w:shd w:fill="DCE6EB"/>
          </w:tcPr>
          <w:p>
            <w:pPr>
              <w:spacing w:after="0" w:line="247" w:lineRule="auto"/>
            </w:pPr>
            <w:r>
              <w:rPr>
                <w:b/>
                <w:i w:val="0"/>
                <w:sz w:val="18"/>
              </w:rPr>
              <w:t>Problèmes ou limites restants</w:t>
            </w:r>
          </w:p>
        </w:tc>
      </w:tr>
      <w:tr>
        <w:trPr>
          <w:cantSplit/>
        </w:trPr>
        <w:tc>
          <w:tcPr>
            <w:tcW w:type="dxa" w:w="1800"/>
            <w:vAlign w:val="center"/>
            <w:tcMar>
              <w:top w:w="80" w:type="dxa"/>
              <w:bottom w:w="80" w:type="dxa"/>
              <w:left w:w="90" w:type="dxa"/>
              <w:right w:w="90" w:type="dxa"/>
            </w:tcMar>
            <w:shd w:fill="FFFFFF"/>
          </w:tcPr>
          <w:p>
            <w:pPr>
              <w:spacing w:after="0" w:line="247" w:lineRule="auto"/>
            </w:pPr>
            <w:r>
              <w:rPr>
                <w:b w:val="0"/>
                <w:i w:val="0"/>
                <w:sz w:val="18"/>
              </w:rPr>
              <w:t>Fonctionnel, 6 → 8</w:t>
            </w:r>
          </w:p>
        </w:tc>
        <w:tc>
          <w:tcPr>
            <w:tcW w:type="dxa" w:w="4320"/>
            <w:vAlign w:val="center"/>
            <w:tcMar>
              <w:top w:w="80" w:type="dxa"/>
              <w:bottom w:w="80" w:type="dxa"/>
              <w:left w:w="90" w:type="dxa"/>
              <w:right w:w="90" w:type="dxa"/>
            </w:tcMar>
            <w:shd w:fill="FFFFFF"/>
          </w:tcPr>
          <w:p>
            <w:pPr>
              <w:spacing w:after="0" w:line="247" w:lineRule="auto"/>
            </w:pPr>
            <w:r>
              <w:rPr>
                <w:b w:val="0"/>
                <w:i w:val="0"/>
                <w:sz w:val="18"/>
              </w:rPr>
              <w:t>Reproductions indépendantes du parsing/import ; tests des vrais points d’entrée ; scénarios Chromium</w:t>
            </w:r>
          </w:p>
        </w:tc>
        <w:tc>
          <w:tcPr>
            <w:tcW w:type="dxa" w:w="3917"/>
            <w:vAlign w:val="center"/>
            <w:tcMar>
              <w:top w:w="80" w:type="dxa"/>
              <w:bottom w:w="80" w:type="dxa"/>
              <w:left w:w="90" w:type="dxa"/>
              <w:right w:w="90" w:type="dxa"/>
            </w:tcMar>
            <w:shd w:fill="FFFFFF"/>
          </w:tcPr>
          <w:p>
            <w:pPr>
              <w:spacing w:after="0" w:line="247" w:lineRule="auto"/>
            </w:pPr>
            <w:r>
              <w:rPr>
                <w:b w:val="0"/>
                <w:i w:val="0"/>
                <w:sz w:val="18"/>
              </w:rPr>
              <w:t>Export visuel incomplet ; couverture MTG non exhaustive</w:t>
            </w:r>
          </w:p>
        </w:tc>
      </w:tr>
      <w:tr>
        <w:trPr>
          <w:cantSplit/>
        </w:trPr>
        <w:tc>
          <w:tcPr>
            <w:tcW w:type="dxa" w:w="1800"/>
            <w:vAlign w:val="center"/>
            <w:tcMar>
              <w:top w:w="80" w:type="dxa"/>
              <w:bottom w:w="80" w:type="dxa"/>
              <w:left w:w="90" w:type="dxa"/>
              <w:right w:w="90" w:type="dxa"/>
            </w:tcMar>
            <w:shd w:fill="F4F6F7"/>
          </w:tcPr>
          <w:p>
            <w:pPr>
              <w:spacing w:after="0" w:line="247" w:lineRule="auto"/>
            </w:pPr>
            <w:r>
              <w:rPr>
                <w:b w:val="0"/>
                <w:i w:val="0"/>
                <w:sz w:val="18"/>
              </w:rPr>
              <w:t>UX, 6 → 8</w:t>
            </w:r>
          </w:p>
        </w:tc>
        <w:tc>
          <w:tcPr>
            <w:tcW w:type="dxa" w:w="4320"/>
            <w:vAlign w:val="center"/>
            <w:tcMar>
              <w:top w:w="80" w:type="dxa"/>
              <w:bottom w:w="80" w:type="dxa"/>
              <w:left w:w="90" w:type="dxa"/>
              <w:right w:w="90" w:type="dxa"/>
            </w:tcMar>
            <w:shd w:fill="F4F6F7"/>
          </w:tcPr>
          <w:p>
            <w:pPr>
              <w:spacing w:after="0" w:line="247" w:lineRule="auto"/>
            </w:pPr>
            <w:r>
              <w:rPr>
                <w:b w:val="0"/>
                <w:i w:val="0"/>
                <w:sz w:val="18"/>
              </w:rPr>
              <w:t>Clear ne restaure ni résultat ni historique ; erreurs numérotées ; récupération des anciens decks</w:t>
            </w:r>
          </w:p>
        </w:tc>
        <w:tc>
          <w:tcPr>
            <w:tcW w:type="dxa" w:w="3917"/>
            <w:vAlign w:val="center"/>
            <w:tcMar>
              <w:top w:w="80" w:type="dxa"/>
              <w:bottom w:w="80" w:type="dxa"/>
              <w:left w:w="90" w:type="dxa"/>
              <w:right w:w="90" w:type="dxa"/>
            </w:tcMar>
            <w:shd w:fill="F4F6F7"/>
          </w:tcPr>
          <w:p>
            <w:pPr>
              <w:spacing w:after="0" w:line="247" w:lineRule="auto"/>
            </w:pPr>
            <w:r>
              <w:rPr>
                <w:b w:val="0"/>
                <w:i w:val="0"/>
                <w:sz w:val="18"/>
              </w:rPr>
              <w:t>Distinction entre indices encore imparfaite</w:t>
            </w:r>
          </w:p>
        </w:tc>
      </w:tr>
      <w:tr>
        <w:trPr>
          <w:cantSplit/>
        </w:trPr>
        <w:tc>
          <w:tcPr>
            <w:tcW w:type="dxa" w:w="1800"/>
            <w:vAlign w:val="center"/>
            <w:tcMar>
              <w:top w:w="80" w:type="dxa"/>
              <w:bottom w:w="80" w:type="dxa"/>
              <w:left w:w="90" w:type="dxa"/>
              <w:right w:w="90" w:type="dxa"/>
            </w:tcMar>
            <w:shd w:fill="FFFFFF"/>
          </w:tcPr>
          <w:p>
            <w:pPr>
              <w:spacing w:after="0" w:line="247" w:lineRule="auto"/>
            </w:pPr>
            <w:r>
              <w:rPr>
                <w:b w:val="0"/>
                <w:i w:val="0"/>
                <w:sz w:val="18"/>
              </w:rPr>
              <w:t>UI, 7 → 7</w:t>
            </w:r>
          </w:p>
        </w:tc>
        <w:tc>
          <w:tcPr>
            <w:tcW w:type="dxa" w:w="4320"/>
            <w:vAlign w:val="center"/>
            <w:tcMar>
              <w:top w:w="80" w:type="dxa"/>
              <w:bottom w:w="80" w:type="dxa"/>
              <w:left w:w="90" w:type="dxa"/>
              <w:right w:w="90" w:type="dxa"/>
            </w:tcMar>
            <w:shd w:fill="FFFFFF"/>
          </w:tcPr>
          <w:p>
            <w:pPr>
              <w:spacing w:after="0" w:line="247" w:lineRule="auto"/>
            </w:pPr>
            <w:r>
              <w:rPr>
                <w:b w:val="0"/>
                <w:i w:val="0"/>
                <w:sz w:val="18"/>
              </w:rPr>
              <w:t>Bandes de score communes et textes mieux contextualisés</w:t>
            </w:r>
          </w:p>
        </w:tc>
        <w:tc>
          <w:tcPr>
            <w:tcW w:type="dxa" w:w="3917"/>
            <w:vAlign w:val="center"/>
            <w:tcMar>
              <w:top w:w="80" w:type="dxa"/>
              <w:bottom w:w="80" w:type="dxa"/>
              <w:left w:w="90" w:type="dxa"/>
              <w:right w:w="90" w:type="dxa"/>
            </w:tcMar>
            <w:shd w:fill="FFFFFF"/>
          </w:tcPr>
          <w:p>
            <w:pPr>
              <w:spacing w:after="0" w:line="247" w:lineRule="auto"/>
            </w:pPr>
            <w:r>
              <w:rPr>
                <w:b w:val="0"/>
                <w:i w:val="0"/>
                <w:sz w:val="18"/>
              </w:rPr>
              <w:t>Nouveau libellé Blueprint incorrect ; liste tronquée dans le PNG</w:t>
            </w:r>
          </w:p>
        </w:tc>
      </w:tr>
      <w:tr>
        <w:trPr>
          <w:cantSplit/>
        </w:trPr>
        <w:tc>
          <w:tcPr>
            <w:tcW w:type="dxa" w:w="1800"/>
            <w:vAlign w:val="center"/>
            <w:tcMar>
              <w:top w:w="80" w:type="dxa"/>
              <w:bottom w:w="80" w:type="dxa"/>
              <w:left w:w="90" w:type="dxa"/>
              <w:right w:w="90" w:type="dxa"/>
            </w:tcMar>
            <w:shd w:fill="F4F6F7"/>
          </w:tcPr>
          <w:p>
            <w:pPr>
              <w:spacing w:after="0" w:line="247" w:lineRule="auto"/>
            </w:pPr>
            <w:r>
              <w:rPr>
                <w:b w:val="0"/>
                <w:i w:val="0"/>
                <w:sz w:val="18"/>
              </w:rPr>
              <w:t>Responsive, 7 → 8</w:t>
            </w:r>
          </w:p>
        </w:tc>
        <w:tc>
          <w:tcPr>
            <w:tcW w:type="dxa" w:w="4320"/>
            <w:vAlign w:val="center"/>
            <w:tcMar>
              <w:top w:w="80" w:type="dxa"/>
              <w:bottom w:w="80" w:type="dxa"/>
              <w:left w:w="90" w:type="dxa"/>
              <w:right w:w="90" w:type="dxa"/>
            </w:tcMar>
            <w:shd w:fill="F4F6F7"/>
          </w:tcPr>
          <w:p>
            <w:pPr>
              <w:spacing w:after="0" w:line="247" w:lineRule="auto"/>
            </w:pPr>
            <w:r>
              <w:rPr>
                <w:b w:val="0"/>
                <w:i w:val="0"/>
                <w:sz w:val="18"/>
              </w:rPr>
              <w:t>Contrôle ciblé à 360 px : « Full Deck List » entièrement visible et activable</w:t>
            </w:r>
          </w:p>
        </w:tc>
        <w:tc>
          <w:tcPr>
            <w:tcW w:type="dxa" w:w="3917"/>
            <w:vAlign w:val="center"/>
            <w:tcMar>
              <w:top w:w="80" w:type="dxa"/>
              <w:bottom w:w="80" w:type="dxa"/>
              <w:left w:w="90" w:type="dxa"/>
              <w:right w:w="90" w:type="dxa"/>
            </w:tcMar>
            <w:shd w:fill="F4F6F7"/>
          </w:tcPr>
          <w:p>
            <w:pPr>
              <w:spacing w:after="0" w:line="247" w:lineRule="auto"/>
            </w:pPr>
            <w:r>
              <w:rPr>
                <w:b w:val="0"/>
                <w:i w:val="0"/>
                <w:sz w:val="18"/>
              </w:rPr>
              <w:t>Clavier virtuel, appareils physiques, zoom et vues complexes incomplets</w:t>
            </w:r>
          </w:p>
        </w:tc>
      </w:tr>
      <w:tr>
        <w:trPr>
          <w:cantSplit/>
        </w:trPr>
        <w:tc>
          <w:tcPr>
            <w:tcW w:type="dxa" w:w="1800"/>
            <w:vAlign w:val="center"/>
            <w:tcMar>
              <w:top w:w="80" w:type="dxa"/>
              <w:bottom w:w="80" w:type="dxa"/>
              <w:left w:w="90" w:type="dxa"/>
              <w:right w:w="90" w:type="dxa"/>
            </w:tcMar>
            <w:shd w:fill="FFFFFF"/>
          </w:tcPr>
          <w:p>
            <w:pPr>
              <w:spacing w:after="0" w:line="247" w:lineRule="auto"/>
            </w:pPr>
            <w:r>
              <w:rPr>
                <w:b w:val="0"/>
                <w:i w:val="0"/>
                <w:sz w:val="18"/>
              </w:rPr>
              <w:t>Accessibilité, 4 → 7</w:t>
            </w:r>
          </w:p>
        </w:tc>
        <w:tc>
          <w:tcPr>
            <w:tcW w:type="dxa" w:w="4320"/>
            <w:vAlign w:val="center"/>
            <w:tcMar>
              <w:top w:w="80" w:type="dxa"/>
              <w:bottom w:w="80" w:type="dxa"/>
              <w:left w:w="90" w:type="dxa"/>
              <w:right w:w="90" w:type="dxa"/>
            </w:tcMar>
            <w:shd w:fill="FFFFFF"/>
          </w:tcPr>
          <w:p>
            <w:pPr>
              <w:spacing w:after="0" w:line="247" w:lineRule="auto"/>
            </w:pPr>
            <w:r>
              <w:rPr>
                <w:b w:val="0"/>
                <w:i w:val="0"/>
                <w:sz w:val="18"/>
              </w:rPr>
              <w:t>Tab atteint Edit Deck ; Entrée ouvre le champ et lui rend le focus ; contrôle de contraste réel</w:t>
            </w:r>
          </w:p>
        </w:tc>
        <w:tc>
          <w:tcPr>
            <w:tcW w:type="dxa" w:w="3917"/>
            <w:vAlign w:val="center"/>
            <w:tcMar>
              <w:top w:w="80" w:type="dxa"/>
              <w:bottom w:w="80" w:type="dxa"/>
              <w:left w:w="90" w:type="dxa"/>
              <w:right w:w="90" w:type="dxa"/>
            </w:tcMar>
            <w:shd w:fill="FFFFFF"/>
          </w:tcPr>
          <w:p>
            <w:pPr>
              <w:spacing w:after="0" w:line="247" w:lineRule="auto"/>
            </w:pPr>
            <w:r>
              <w:rPr>
                <w:b w:val="0"/>
                <w:i w:val="0"/>
                <w:sz w:val="18"/>
              </w:rPr>
              <w:t>Lecteur d’écran et conformité AA complète non établis</w:t>
            </w:r>
          </w:p>
        </w:tc>
      </w:tr>
      <w:tr>
        <w:trPr>
          <w:cantSplit/>
        </w:trPr>
        <w:tc>
          <w:tcPr>
            <w:tcW w:type="dxa" w:w="1800"/>
            <w:vAlign w:val="center"/>
            <w:tcMar>
              <w:top w:w="80" w:type="dxa"/>
              <w:bottom w:w="80" w:type="dxa"/>
              <w:left w:w="90" w:type="dxa"/>
              <w:right w:w="90" w:type="dxa"/>
            </w:tcMar>
            <w:shd w:fill="F4F6F7"/>
          </w:tcPr>
          <w:p>
            <w:pPr>
              <w:spacing w:after="0" w:line="247" w:lineRule="auto"/>
            </w:pPr>
            <w:r>
              <w:rPr>
                <w:b w:val="0"/>
                <w:i w:val="0"/>
                <w:sz w:val="18"/>
              </w:rPr>
              <w:t>Performance, 6 → 7</w:t>
            </w:r>
          </w:p>
        </w:tc>
        <w:tc>
          <w:tcPr>
            <w:tcW w:type="dxa" w:w="4320"/>
            <w:vAlign w:val="center"/>
            <w:tcMar>
              <w:top w:w="80" w:type="dxa"/>
              <w:bottom w:w="80" w:type="dxa"/>
              <w:left w:w="90" w:type="dxa"/>
              <w:right w:w="90" w:type="dxa"/>
            </w:tcMar>
            <w:shd w:fill="F4F6F7"/>
          </w:tcPr>
          <w:p>
            <w:pPr>
              <w:spacing w:after="0" w:line="247" w:lineRule="auto"/>
            </w:pPr>
            <w:r>
              <w:rPr>
                <w:b w:val="0"/>
                <w:i w:val="0"/>
                <w:sz w:val="18"/>
              </w:rPr>
              <w:t>Limite de 250 cartes ; budget de résolution de 30 s ; annulation des attentes réseau</w:t>
            </w:r>
          </w:p>
        </w:tc>
        <w:tc>
          <w:tcPr>
            <w:tcW w:type="dxa" w:w="3917"/>
            <w:vAlign w:val="center"/>
            <w:tcMar>
              <w:top w:w="80" w:type="dxa"/>
              <w:bottom w:w="80" w:type="dxa"/>
              <w:left w:w="90" w:type="dxa"/>
              <w:right w:w="90" w:type="dxa"/>
            </w:tcMar>
            <w:shd w:fill="F4F6F7"/>
          </w:tcPr>
          <w:p>
            <w:pPr>
              <w:spacing w:after="0" w:line="247" w:lineRule="auto"/>
            </w:pPr>
            <w:r>
              <w:rPr>
                <w:b w:val="0"/>
                <w:i w:val="0"/>
                <w:sz w:val="18"/>
              </w:rPr>
              <w:t>Aucun nouveau LCP, INP, CLS ou TTFB représentatif</w:t>
            </w:r>
          </w:p>
        </w:tc>
      </w:tr>
      <w:tr>
        <w:trPr>
          <w:cantSplit/>
        </w:trPr>
        <w:tc>
          <w:tcPr>
            <w:tcW w:type="dxa" w:w="1800"/>
            <w:vAlign w:val="center"/>
            <w:tcMar>
              <w:top w:w="80" w:type="dxa"/>
              <w:bottom w:w="80" w:type="dxa"/>
              <w:left w:w="90" w:type="dxa"/>
              <w:right w:w="90" w:type="dxa"/>
            </w:tcMar>
            <w:shd w:fill="FFFFFF"/>
          </w:tcPr>
          <w:p>
            <w:pPr>
              <w:spacing w:after="0" w:line="247" w:lineRule="auto"/>
            </w:pPr>
            <w:r>
              <w:rPr>
                <w:b w:val="0"/>
                <w:i w:val="0"/>
                <w:sz w:val="18"/>
              </w:rPr>
              <w:t>Sécurité, 8 → 8</w:t>
            </w:r>
          </w:p>
        </w:tc>
        <w:tc>
          <w:tcPr>
            <w:tcW w:type="dxa" w:w="4320"/>
            <w:vAlign w:val="center"/>
            <w:tcMar>
              <w:top w:w="80" w:type="dxa"/>
              <w:bottom w:w="80" w:type="dxa"/>
              <w:left w:w="90" w:type="dxa"/>
              <w:right w:w="90" w:type="dxa"/>
            </w:tcMar>
            <w:shd w:fill="FFFFFF"/>
          </w:tcPr>
          <w:p>
            <w:pPr>
              <w:spacing w:after="0" w:line="247" w:lineRule="auto"/>
            </w:pPr>
            <w:r>
              <w:rPr>
                <w:b w:val="0"/>
                <w:i w:val="0"/>
                <w:sz w:val="18"/>
              </w:rPr>
              <w:t>Validation des résultats importés, conservation atomique ; headers publics ; audit dépendances CI favorable</w:t>
            </w:r>
          </w:p>
        </w:tc>
        <w:tc>
          <w:tcPr>
            <w:tcW w:type="dxa" w:w="3917"/>
            <w:vAlign w:val="center"/>
            <w:tcMar>
              <w:top w:w="80" w:type="dxa"/>
              <w:bottom w:w="80" w:type="dxa"/>
              <w:left w:w="90" w:type="dxa"/>
              <w:right w:w="90" w:type="dxa"/>
            </w:tcMar>
            <w:shd w:fill="FFFFFF"/>
          </w:tcPr>
          <w:p>
            <w:pPr>
              <w:spacing w:after="0" w:line="247" w:lineRule="auto"/>
            </w:pPr>
            <w:r>
              <w:rPr>
                <w:b w:val="0"/>
                <w:i w:val="0"/>
                <w:sz w:val="18"/>
              </w:rPr>
              <w:t>Pas de certification des réglages privés ni de toutes les surfaces</w:t>
            </w:r>
          </w:p>
        </w:tc>
      </w:tr>
      <w:tr>
        <w:trPr>
          <w:cantSplit/>
        </w:trPr>
        <w:tc>
          <w:tcPr>
            <w:tcW w:type="dxa" w:w="1800"/>
            <w:vAlign w:val="center"/>
            <w:tcMar>
              <w:top w:w="80" w:type="dxa"/>
              <w:bottom w:w="80" w:type="dxa"/>
              <w:left w:w="90" w:type="dxa"/>
              <w:right w:w="90" w:type="dxa"/>
            </w:tcMar>
            <w:shd w:fill="F4F6F7"/>
          </w:tcPr>
          <w:p>
            <w:pPr>
              <w:spacing w:after="0" w:line="247" w:lineRule="auto"/>
            </w:pPr>
            <w:r>
              <w:rPr>
                <w:b w:val="0"/>
                <w:i w:val="0"/>
                <w:sz w:val="18"/>
              </w:rPr>
              <w:t>SEO, 4 → 4</w:t>
            </w:r>
          </w:p>
        </w:tc>
        <w:tc>
          <w:tcPr>
            <w:tcW w:type="dxa" w:w="4320"/>
            <w:vAlign w:val="center"/>
            <w:tcMar>
              <w:top w:w="80" w:type="dxa"/>
              <w:bottom w:w="80" w:type="dxa"/>
              <w:left w:w="90" w:type="dxa"/>
              <w:right w:w="90" w:type="dxa"/>
            </w:tcMar>
            <w:shd w:fill="F4F6F7"/>
          </w:tcPr>
          <w:p>
            <w:pPr>
              <w:spacing w:after="0" w:line="247" w:lineRule="auto"/>
            </w:pPr>
            <w:r>
              <w:rPr>
                <w:b w:val="0"/>
                <w:i w:val="0"/>
                <w:sz w:val="18"/>
              </w:rPr>
              <w:t>Contrat de 101 routes valide localement ; GET publics toujours génériques</w:t>
            </w:r>
          </w:p>
        </w:tc>
        <w:tc>
          <w:tcPr>
            <w:tcW w:type="dxa" w:w="3917"/>
            <w:vAlign w:val="center"/>
            <w:tcMar>
              <w:top w:w="80" w:type="dxa"/>
              <w:bottom w:w="80" w:type="dxa"/>
              <w:left w:w="90" w:type="dxa"/>
              <w:right w:w="90" w:type="dxa"/>
            </w:tcMar>
            <w:shd w:fill="F4F6F7"/>
          </w:tcPr>
          <w:p>
            <w:pPr>
              <w:spacing w:after="0" w:line="247" w:lineRule="auto"/>
            </w:pPr>
            <w:r>
              <w:rPr>
                <w:b w:val="0"/>
                <w:i w:val="0"/>
                <w:sz w:val="18"/>
              </w:rPr>
              <w:t>Prérendu et vraie 404 non observés publiquement</w:t>
            </w:r>
          </w:p>
        </w:tc>
      </w:tr>
      <w:tr>
        <w:trPr>
          <w:cantSplit/>
        </w:trPr>
        <w:tc>
          <w:tcPr>
            <w:tcW w:type="dxa" w:w="1800"/>
            <w:vAlign w:val="center"/>
            <w:tcMar>
              <w:top w:w="80" w:type="dxa"/>
              <w:bottom w:w="80" w:type="dxa"/>
              <w:left w:w="90" w:type="dxa"/>
              <w:right w:w="90" w:type="dxa"/>
            </w:tcMar>
            <w:shd w:fill="FFFFFF"/>
          </w:tcPr>
          <w:p>
            <w:pPr>
              <w:spacing w:after="0" w:line="247" w:lineRule="auto"/>
            </w:pPr>
            <w:r>
              <w:rPr>
                <w:b w:val="0"/>
                <w:i w:val="0"/>
                <w:sz w:val="18"/>
              </w:rPr>
              <w:t>Code, 6 → 7</w:t>
            </w:r>
          </w:p>
        </w:tc>
        <w:tc>
          <w:tcPr>
            <w:tcW w:type="dxa" w:w="4320"/>
            <w:vAlign w:val="center"/>
            <w:tcMar>
              <w:top w:w="80" w:type="dxa"/>
              <w:bottom w:w="80" w:type="dxa"/>
              <w:left w:w="90" w:type="dxa"/>
              <w:right w:w="90" w:type="dxa"/>
            </w:tcMar>
            <w:shd w:fill="FFFFFF"/>
          </w:tcPr>
          <w:p>
            <w:pPr>
              <w:spacing w:after="0" w:line="247" w:lineRule="auto"/>
            </w:pPr>
            <w:r>
              <w:rPr>
                <w:b w:val="0"/>
                <w:i w:val="0"/>
                <w:sz w:val="18"/>
              </w:rPr>
              <w:t>Parseur partagé, contexte d’annulation, contrats d’historique ; types/lint passants</w:t>
            </w:r>
          </w:p>
        </w:tc>
        <w:tc>
          <w:tcPr>
            <w:tcW w:type="dxa" w:w="3917"/>
            <w:vAlign w:val="center"/>
            <w:tcMar>
              <w:top w:w="80" w:type="dxa"/>
              <w:bottom w:w="80" w:type="dxa"/>
              <w:left w:w="90" w:type="dxa"/>
              <w:right w:w="90" w:type="dxa"/>
            </w:tcMar>
            <w:shd w:fill="FFFFFF"/>
          </w:tcPr>
          <w:p>
            <w:pPr>
              <w:spacing w:after="0" w:line="247" w:lineRule="auto"/>
            </w:pPr>
            <w:r>
              <w:rPr>
                <w:b w:val="0"/>
                <w:i w:val="0"/>
                <w:sz w:val="18"/>
              </w:rPr>
              <w:t>Gros composants, caches distincts, valeurs permissives résiduelles</w:t>
            </w:r>
          </w:p>
        </w:tc>
      </w:tr>
      <w:tr>
        <w:trPr>
          <w:cantSplit/>
        </w:trPr>
        <w:tc>
          <w:tcPr>
            <w:tcW w:type="dxa" w:w="1800"/>
            <w:vAlign w:val="center"/>
            <w:tcMar>
              <w:top w:w="80" w:type="dxa"/>
              <w:bottom w:w="80" w:type="dxa"/>
              <w:left w:w="90" w:type="dxa"/>
              <w:right w:w="90" w:type="dxa"/>
            </w:tcMar>
            <w:shd w:fill="F4F6F7"/>
          </w:tcPr>
          <w:p>
            <w:pPr>
              <w:spacing w:after="0" w:line="247" w:lineRule="auto"/>
            </w:pPr>
            <w:r>
              <w:rPr>
                <w:b w:val="0"/>
                <w:i w:val="0"/>
                <w:sz w:val="18"/>
              </w:rPr>
              <w:t>Tests, 7 → 8</w:t>
            </w:r>
          </w:p>
        </w:tc>
        <w:tc>
          <w:tcPr>
            <w:tcW w:type="dxa" w:w="4320"/>
            <w:vAlign w:val="center"/>
            <w:tcMar>
              <w:top w:w="80" w:type="dxa"/>
              <w:bottom w:w="80" w:type="dxa"/>
              <w:left w:w="90" w:type="dxa"/>
              <w:right w:w="90" w:type="dxa"/>
            </w:tcMar>
            <w:shd w:fill="F4F6F7"/>
          </w:tcPr>
          <w:p>
            <w:pPr>
              <w:spacing w:after="0" w:line="247" w:lineRule="auto"/>
            </w:pPr>
            <w:r>
              <w:rPr>
                <w:b w:val="0"/>
                <w:i w:val="0"/>
                <w:sz w:val="18"/>
              </w:rPr>
              <w:t>128 tests ciblés et 7 E2E relancés ; CI actuelle consultée</w:t>
            </w:r>
          </w:p>
        </w:tc>
        <w:tc>
          <w:tcPr>
            <w:tcW w:type="dxa" w:w="3917"/>
            <w:vAlign w:val="center"/>
            <w:tcMar>
              <w:top w:w="80" w:type="dxa"/>
              <w:bottom w:w="80" w:type="dxa"/>
              <w:left w:w="90" w:type="dxa"/>
              <w:right w:w="90" w:type="dxa"/>
            </w:tcMar>
            <w:shd w:fill="F4F6F7"/>
          </w:tcPr>
          <w:p>
            <w:pPr>
              <w:spacing w:after="0" w:line="247" w:lineRule="auto"/>
            </w:pPr>
            <w:r>
              <w:rPr>
                <w:b w:val="0"/>
                <w:i w:val="0"/>
                <w:sz w:val="18"/>
              </w:rPr>
              <w:t>Certaines assertions éditoriales et exports donnent une assurance excessive</w:t>
            </w:r>
          </w:p>
        </w:tc>
      </w:tr>
    </w:tbl>
    <w:p>
      <w:pPr>
        <w:spacing w:after="40"/>
      </w:pPr>
    </w:p>
    <w:p>
      <w:pPr>
        <w:pStyle w:val="Heading1"/>
      </w:pPr>
      <w:r>
        <w:rPr>
          <w:b w:val="0"/>
          <w:i w:val="0"/>
        </w:rPr>
        <w:t>6. État des problèmes de l’ancien audit</w:t>
      </w:r>
    </w:p>
    <w:p>
      <w:pPr/>
      <w:r>
        <w:rPr>
          <w:b/>
          <w:i w:val="0"/>
        </w:rPr>
        <w:t>Portée des statuts : correction du code actuel et validation du candidat.</w:t>
      </w:r>
      <w:r>
        <w:rPr>
          <w:b w:val="0"/>
          <w:i w:val="0"/>
        </w:rPr>
        <w:t xml:space="preserve"> La publication est distinguée explicitement lorsqu’elle n’est pas acquise.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936"/>
        <w:gridCol w:w="1584"/>
        <w:gridCol w:w="1944"/>
        <w:gridCol w:w="3197"/>
      </w:tblGrid>
      <w:tr>
        <w:trPr>
          <w:cantSplit/>
          <w:tblHeader/>
        </w:trPr>
        <w:tc>
          <w:tcPr>
            <w:tcW w:type="dxa" w:w="2376"/>
            <w:vAlign w:val="center"/>
            <w:tcMar>
              <w:top w:w="80" w:type="dxa"/>
              <w:bottom w:w="80" w:type="dxa"/>
              <w:left w:w="90" w:type="dxa"/>
              <w:right w:w="90" w:type="dxa"/>
            </w:tcMar>
            <w:shd w:fill="DCE6EB"/>
          </w:tcPr>
          <w:p>
            <w:pPr>
              <w:spacing w:after="0" w:line="247" w:lineRule="auto"/>
            </w:pPr>
            <w:r>
              <w:rPr>
                <w:b/>
                <w:i w:val="0"/>
                <w:sz w:val="18"/>
              </w:rPr>
              <w:t>Problème ancien</w:t>
            </w:r>
          </w:p>
        </w:tc>
        <w:tc>
          <w:tcPr>
            <w:tcW w:type="dxa" w:w="936"/>
            <w:vAlign w:val="center"/>
            <w:tcMar>
              <w:top w:w="80" w:type="dxa"/>
              <w:bottom w:w="80" w:type="dxa"/>
              <w:left w:w="90" w:type="dxa"/>
              <w:right w:w="90" w:type="dxa"/>
            </w:tcMar>
            <w:shd w:fill="DCE6EB"/>
          </w:tcPr>
          <w:p>
            <w:pPr>
              <w:spacing w:after="0" w:line="247" w:lineRule="auto"/>
            </w:pPr>
            <w:r>
              <w:rPr>
                <w:b/>
                <w:i w:val="0"/>
                <w:sz w:val="18"/>
              </w:rPr>
              <w:t>Sévérité</w:t>
            </w:r>
          </w:p>
        </w:tc>
        <w:tc>
          <w:tcPr>
            <w:tcW w:type="dxa" w:w="1584"/>
            <w:vAlign w:val="center"/>
            <w:tcMar>
              <w:top w:w="80" w:type="dxa"/>
              <w:bottom w:w="80" w:type="dxa"/>
              <w:left w:w="90" w:type="dxa"/>
              <w:right w:w="90" w:type="dxa"/>
            </w:tcMar>
            <w:shd w:fill="DCE6EB"/>
          </w:tcPr>
          <w:p>
            <w:pPr>
              <w:spacing w:after="0" w:line="247" w:lineRule="auto"/>
            </w:pPr>
            <w:r>
              <w:rPr>
                <w:b/>
                <w:i w:val="0"/>
                <w:sz w:val="18"/>
              </w:rPr>
              <w:t>Avant</w:t>
            </w:r>
          </w:p>
        </w:tc>
        <w:tc>
          <w:tcPr>
            <w:tcW w:type="dxa" w:w="1944"/>
            <w:vAlign w:val="center"/>
            <w:tcMar>
              <w:top w:w="80" w:type="dxa"/>
              <w:bottom w:w="80" w:type="dxa"/>
              <w:left w:w="90" w:type="dxa"/>
              <w:right w:w="90" w:type="dxa"/>
            </w:tcMar>
            <w:shd w:fill="DCE6EB"/>
          </w:tcPr>
          <w:p>
            <w:pPr>
              <w:spacing w:after="0" w:line="247" w:lineRule="auto"/>
            </w:pPr>
            <w:r>
              <w:rPr>
                <w:b/>
                <w:i w:val="0"/>
                <w:sz w:val="18"/>
              </w:rPr>
              <w:t>Maintenant</w:t>
            </w:r>
          </w:p>
        </w:tc>
        <w:tc>
          <w:tcPr>
            <w:tcW w:type="dxa" w:w="3197"/>
            <w:vAlign w:val="center"/>
            <w:tcMar>
              <w:top w:w="80" w:type="dxa"/>
              <w:bottom w:w="80" w:type="dxa"/>
              <w:left w:w="90" w:type="dxa"/>
              <w:right w:w="90" w:type="dxa"/>
            </w:tcMar>
            <w:shd w:fill="DCE6EB"/>
          </w:tcPr>
          <w:p>
            <w:pPr>
              <w:spacing w:after="0" w:line="247" w:lineRule="auto"/>
            </w:pPr>
            <w:r>
              <w:rPr>
                <w:b/>
                <w:i w:val="0"/>
                <w:sz w:val="18"/>
              </w:rPr>
              <w:t>Preuve</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F01 — Validation du deck</w:t>
            </w:r>
          </w:p>
        </w:tc>
        <w:tc>
          <w:tcPr>
            <w:tcW w:type="dxa" w:w="936"/>
            <w:vAlign w:val="center"/>
            <w:tcMar>
              <w:top w:w="80" w:type="dxa"/>
              <w:bottom w:w="80" w:type="dxa"/>
              <w:left w:w="90" w:type="dxa"/>
              <w:right w:w="90" w:type="dxa"/>
            </w:tcMar>
            <w:shd w:fill="FFFFFF"/>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FFFFF"/>
          </w:tcPr>
          <w:p>
            <w:pPr>
              <w:spacing w:after="0" w:line="247" w:lineRule="auto"/>
            </w:pPr>
            <w:r>
              <w:rPr>
                <w:b w:val="0"/>
                <w:i w:val="0"/>
                <w:sz w:val="18"/>
              </w:rPr>
              <w:t>Texte invalide et million acceptés</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 xml:space="preserve">Rejet indépendant ; tests </w:t>
            </w:r>
            <w:r>
              <w:rPr>
                <w:rFonts w:ascii="Consolas" w:hAnsi="Consolas"/>
                <w:b w:val="0"/>
                <w:i w:val="0"/>
                <w:sz w:val="18"/>
              </w:rPr>
              <w:t>analyzeDeck</w:t>
            </w:r>
            <w:r>
              <w:rPr>
                <w:b w:val="0"/>
                <w:i w:val="0"/>
                <w:sz w:val="18"/>
              </w:rPr>
              <w:t xml:space="preserve"> sans appel réseau</w:t>
            </w:r>
          </w:p>
        </w:tc>
      </w:tr>
      <w:tr>
        <w:trPr>
          <w:cantSplit/>
        </w:trPr>
        <w:tc>
          <w:tcPr>
            <w:tcW w:type="dxa" w:w="2376"/>
            <w:vAlign w:val="center"/>
            <w:tcMar>
              <w:top w:w="80" w:type="dxa"/>
              <w:bottom w:w="80" w:type="dxa"/>
              <w:left w:w="90" w:type="dxa"/>
              <w:right w:w="90" w:type="dxa"/>
            </w:tcMar>
            <w:shd w:fill="F4F6F7"/>
          </w:tcPr>
          <w:p>
            <w:pPr>
              <w:spacing w:after="0" w:line="247" w:lineRule="auto"/>
            </w:pPr>
            <w:r>
              <w:rPr>
                <w:b w:val="0"/>
                <w:i w:val="0"/>
                <w:sz w:val="18"/>
              </w:rPr>
              <w:t>F02 — Sections incorrectes</w:t>
            </w:r>
          </w:p>
        </w:tc>
        <w:tc>
          <w:tcPr>
            <w:tcW w:type="dxa" w:w="936"/>
            <w:vAlign w:val="center"/>
            <w:tcMar>
              <w:top w:w="80" w:type="dxa"/>
              <w:bottom w:w="80" w:type="dxa"/>
              <w:left w:w="90" w:type="dxa"/>
              <w:right w:w="90" w:type="dxa"/>
            </w:tcMar>
            <w:shd w:fill="F4F6F7"/>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4F6F7"/>
          </w:tcPr>
          <w:p>
            <w:pPr>
              <w:spacing w:after="0" w:line="247" w:lineRule="auto"/>
            </w:pPr>
            <w:r>
              <w:rPr>
                <w:b w:val="0"/>
                <w:i w:val="0"/>
                <w:sz w:val="18"/>
              </w:rPr>
              <w:t>Maybeboard intégré, SB propagé</w:t>
            </w:r>
          </w:p>
        </w:tc>
        <w:tc>
          <w:tcPr>
            <w:tcW w:type="dxa" w:w="1944"/>
            <w:vAlign w:val="center"/>
            <w:tcMar>
              <w:top w:w="80" w:type="dxa"/>
              <w:bottom w:w="80" w:type="dxa"/>
              <w:left w:w="90" w:type="dxa"/>
              <w:right w:w="90" w:type="dxa"/>
            </w:tcMar>
            <w:shd w:fill="F4F6F7"/>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4F6F7"/>
          </w:tcPr>
          <w:p>
            <w:pPr>
              <w:spacing w:after="0" w:line="247" w:lineRule="auto"/>
            </w:pPr>
            <w:r>
              <w:rPr>
                <w:b w:val="0"/>
                <w:i w:val="0"/>
                <w:sz w:val="18"/>
              </w:rPr>
              <w:t>Reproduction des deux entrées historiques ; transitions testées</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F03 — Hybrides</w:t>
            </w:r>
          </w:p>
        </w:tc>
        <w:tc>
          <w:tcPr>
            <w:tcW w:type="dxa" w:w="936"/>
            <w:vAlign w:val="center"/>
            <w:tcMar>
              <w:top w:w="80" w:type="dxa"/>
              <w:bottom w:w="80" w:type="dxa"/>
              <w:left w:w="90" w:type="dxa"/>
              <w:right w:w="90" w:type="dxa"/>
            </w:tcMar>
            <w:shd w:fill="FFFFFF"/>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FFFFF"/>
          </w:tcPr>
          <w:p>
            <w:pPr>
              <w:spacing w:after="0" w:line="247" w:lineRule="auto"/>
            </w:pPr>
            <w:r>
              <w:rPr>
                <w:b w:val="0"/>
                <w:i w:val="0"/>
                <w:sz w:val="18"/>
              </w:rPr>
              <w:t>Obligation rouge injustifiée</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Aucun delta rouge ; détail physique et indisponibilités vérifiés</w:t>
            </w:r>
          </w:p>
        </w:tc>
      </w:tr>
      <w:tr>
        <w:trPr>
          <w:cantSplit/>
        </w:trPr>
        <w:tc>
          <w:tcPr>
            <w:tcW w:type="dxa" w:w="2376"/>
            <w:vAlign w:val="center"/>
            <w:tcMar>
              <w:top w:w="80" w:type="dxa"/>
              <w:bottom w:w="80" w:type="dxa"/>
              <w:left w:w="90" w:type="dxa"/>
              <w:right w:w="90" w:type="dxa"/>
            </w:tcMar>
            <w:shd w:fill="F4F6F7"/>
          </w:tcPr>
          <w:p>
            <w:pPr>
              <w:spacing w:after="0" w:line="247" w:lineRule="auto"/>
            </w:pPr>
            <w:r>
              <w:rPr>
                <w:b w:val="0"/>
                <w:i w:val="0"/>
                <w:sz w:val="18"/>
              </w:rPr>
              <w:t>F04 — Sideboard dans les cibles</w:t>
            </w:r>
          </w:p>
        </w:tc>
        <w:tc>
          <w:tcPr>
            <w:tcW w:type="dxa" w:w="936"/>
            <w:vAlign w:val="center"/>
            <w:tcMar>
              <w:top w:w="80" w:type="dxa"/>
              <w:bottom w:w="80" w:type="dxa"/>
              <w:left w:w="90" w:type="dxa"/>
              <w:right w:w="90" w:type="dxa"/>
            </w:tcMar>
            <w:shd w:fill="F4F6F7"/>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4F6F7"/>
          </w:tcPr>
          <w:p>
            <w:pPr>
              <w:spacing w:after="0" w:line="247" w:lineRule="auto"/>
            </w:pPr>
            <w:r>
              <w:rPr>
                <w:b w:val="0"/>
                <w:i w:val="0"/>
                <w:sz w:val="18"/>
              </w:rPr>
              <w:t>Cible bleue ajoutée au principal</w:t>
            </w:r>
          </w:p>
        </w:tc>
        <w:tc>
          <w:tcPr>
            <w:tcW w:type="dxa" w:w="1944"/>
            <w:vAlign w:val="center"/>
            <w:tcMar>
              <w:top w:w="80" w:type="dxa"/>
              <w:bottom w:w="80" w:type="dxa"/>
              <w:left w:w="90" w:type="dxa"/>
              <w:right w:w="90" w:type="dxa"/>
            </w:tcMar>
            <w:shd w:fill="F4F6F7"/>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4F6F7"/>
          </w:tcPr>
          <w:p>
            <w:pPr>
              <w:spacing w:after="0" w:line="247" w:lineRule="auto"/>
            </w:pPr>
            <w:r>
              <w:rPr>
                <w:b w:val="0"/>
                <w:i w:val="0"/>
                <w:sz w:val="18"/>
              </w:rPr>
              <w:t>Counterspell en sideboard ne crée plus de cible bleue</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F05 — Clear et résultat tardif</w:t>
            </w:r>
          </w:p>
        </w:tc>
        <w:tc>
          <w:tcPr>
            <w:tcW w:type="dxa" w:w="936"/>
            <w:vAlign w:val="center"/>
            <w:tcMar>
              <w:top w:w="80" w:type="dxa"/>
              <w:bottom w:w="80" w:type="dxa"/>
              <w:left w:w="90" w:type="dxa"/>
              <w:right w:w="90" w:type="dxa"/>
            </w:tcMar>
            <w:shd w:fill="FFFFFF"/>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FFFFF"/>
          </w:tcPr>
          <w:p>
            <w:pPr>
              <w:spacing w:after="0" w:line="247" w:lineRule="auto"/>
            </w:pPr>
            <w:r>
              <w:rPr>
                <w:b w:val="0"/>
                <w:i w:val="0"/>
                <w:sz w:val="18"/>
              </w:rPr>
              <w:t>Résultat réapparaissant</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Chromium : requête annulée, historique vide, rechargement vide</w:t>
            </w:r>
          </w:p>
        </w:tc>
      </w:tr>
      <w:tr>
        <w:trPr>
          <w:cantSplit/>
        </w:trPr>
        <w:tc>
          <w:tcPr>
            <w:tcW w:type="dxa" w:w="2376"/>
            <w:vAlign w:val="center"/>
            <w:tcMar>
              <w:top w:w="80" w:type="dxa"/>
              <w:bottom w:w="80" w:type="dxa"/>
              <w:left w:w="90" w:type="dxa"/>
              <w:right w:w="90" w:type="dxa"/>
            </w:tcMar>
            <w:shd w:fill="F4F6F7"/>
          </w:tcPr>
          <w:p>
            <w:pPr>
              <w:spacing w:after="0" w:line="247" w:lineRule="auto"/>
            </w:pPr>
            <w:r>
              <w:rPr>
                <w:b w:val="0"/>
                <w:i w:val="0"/>
                <w:sz w:val="18"/>
              </w:rPr>
              <w:t>F06 — Import/historique</w:t>
            </w:r>
          </w:p>
        </w:tc>
        <w:tc>
          <w:tcPr>
            <w:tcW w:type="dxa" w:w="936"/>
            <w:vAlign w:val="center"/>
            <w:tcMar>
              <w:top w:w="80" w:type="dxa"/>
              <w:bottom w:w="80" w:type="dxa"/>
              <w:left w:w="90" w:type="dxa"/>
              <w:right w:w="90" w:type="dxa"/>
            </w:tcMar>
            <w:shd w:fill="F4F6F7"/>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4F6F7"/>
          </w:tcPr>
          <w:p>
            <w:pPr>
              <w:spacing w:after="0" w:line="247" w:lineRule="auto"/>
            </w:pPr>
            <w:r>
              <w:rPr>
                <w:b w:val="0"/>
                <w:i w:val="0"/>
                <w:sz w:val="18"/>
              </w:rPr>
              <w:t>Mauvais types acceptés</w:t>
            </w:r>
          </w:p>
        </w:tc>
        <w:tc>
          <w:tcPr>
            <w:tcW w:type="dxa" w:w="1944"/>
            <w:vAlign w:val="center"/>
            <w:tcMar>
              <w:top w:w="80" w:type="dxa"/>
              <w:bottom w:w="80" w:type="dxa"/>
              <w:left w:w="90" w:type="dxa"/>
              <w:right w:w="90" w:type="dxa"/>
            </w:tcMar>
            <w:shd w:fill="F4F6F7"/>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4F6F7"/>
          </w:tcPr>
          <w:p>
            <w:pPr>
              <w:spacing w:after="0" w:line="247" w:lineRule="auto"/>
            </w:pPr>
            <w:r>
              <w:rPr>
                <w:b w:val="0"/>
                <w:i w:val="0"/>
                <w:sz w:val="18"/>
              </w:rPr>
              <w:t xml:space="preserve">Import historique rejeté sans mutation ; </w:t>
            </w:r>
            <w:r>
              <w:rPr>
                <w:rFonts w:ascii="Consolas" w:hAnsi="Consolas"/>
                <w:b w:val="0"/>
                <w:i w:val="0"/>
                <w:sz w:val="18"/>
              </w:rPr>
              <w:t>[null]</w:t>
            </w:r>
            <w:r>
              <w:rPr>
                <w:b w:val="0"/>
                <w:i w:val="0"/>
                <w:sz w:val="18"/>
              </w:rPr>
              <w:t xml:space="preserve"> isolé avec avertissement</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F07 — Edit Deck au clavier</w:t>
            </w:r>
          </w:p>
        </w:tc>
        <w:tc>
          <w:tcPr>
            <w:tcW w:type="dxa" w:w="936"/>
            <w:vAlign w:val="center"/>
            <w:tcMar>
              <w:top w:w="80" w:type="dxa"/>
              <w:bottom w:w="80" w:type="dxa"/>
              <w:left w:w="90" w:type="dxa"/>
              <w:right w:w="90" w:type="dxa"/>
            </w:tcMar>
            <w:shd w:fill="FFFFFF"/>
          </w:tcPr>
          <w:p>
            <w:pPr>
              <w:spacing w:after="0" w:line="247" w:lineRule="auto"/>
            </w:pPr>
            <w:r>
              <w:rPr>
                <w:b w:val="0"/>
                <w:i w:val="0"/>
                <w:sz w:val="18"/>
              </w:rPr>
              <w:t>Élevé, P1</w:t>
            </w:r>
          </w:p>
        </w:tc>
        <w:tc>
          <w:tcPr>
            <w:tcW w:type="dxa" w:w="1584"/>
            <w:vAlign w:val="center"/>
            <w:tcMar>
              <w:top w:w="80" w:type="dxa"/>
              <w:bottom w:w="80" w:type="dxa"/>
              <w:left w:w="90" w:type="dxa"/>
              <w:right w:w="90" w:type="dxa"/>
            </w:tcMar>
            <w:shd w:fill="FFFFFF"/>
          </w:tcPr>
          <w:p>
            <w:pPr>
              <w:spacing w:after="0" w:line="247" w:lineRule="auto"/>
            </w:pPr>
            <w:r>
              <w:rPr>
                <w:b w:val="0"/>
                <w:i w:val="0"/>
                <w:sz w:val="18"/>
              </w:rPr>
              <w:t>Contrôle non focalisable</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Nouveau contrôle Chromium Tab/Entrée/focus et tests de composant</w:t>
            </w:r>
          </w:p>
        </w:tc>
      </w:tr>
      <w:tr>
        <w:trPr>
          <w:cantSplit/>
        </w:trPr>
        <w:tc>
          <w:tcPr>
            <w:tcW w:type="dxa" w:w="2376"/>
            <w:vAlign w:val="center"/>
            <w:tcMar>
              <w:top w:w="80" w:type="dxa"/>
              <w:bottom w:w="80" w:type="dxa"/>
              <w:left w:w="90" w:type="dxa"/>
              <w:right w:w="90" w:type="dxa"/>
            </w:tcMar>
            <w:shd w:fill="F4F6F7"/>
          </w:tcPr>
          <w:p>
            <w:pPr>
              <w:spacing w:after="0" w:line="247" w:lineRule="auto"/>
            </w:pPr>
            <w:r>
              <w:rPr>
                <w:b w:val="0"/>
                <w:i w:val="0"/>
                <w:sz w:val="18"/>
              </w:rPr>
              <w:t>F08 — Annulation réseau</w:t>
            </w:r>
          </w:p>
        </w:tc>
        <w:tc>
          <w:tcPr>
            <w:tcW w:type="dxa" w:w="936"/>
            <w:vAlign w:val="center"/>
            <w:tcMar>
              <w:top w:w="80" w:type="dxa"/>
              <w:bottom w:w="80" w:type="dxa"/>
              <w:left w:w="90" w:type="dxa"/>
              <w:right w:w="90" w:type="dxa"/>
            </w:tcMar>
            <w:shd w:fill="F4F6F7"/>
          </w:tcPr>
          <w:p>
            <w:pPr>
              <w:spacing w:after="0" w:line="247" w:lineRule="auto"/>
            </w:pPr>
            <w:r>
              <w:rPr>
                <w:b w:val="0"/>
                <w:i w:val="0"/>
                <w:sz w:val="18"/>
              </w:rPr>
              <w:t>Moyen, P2</w:t>
            </w:r>
          </w:p>
        </w:tc>
        <w:tc>
          <w:tcPr>
            <w:tcW w:type="dxa" w:w="1584"/>
            <w:vAlign w:val="center"/>
            <w:tcMar>
              <w:top w:w="80" w:type="dxa"/>
              <w:bottom w:w="80" w:type="dxa"/>
              <w:left w:w="90" w:type="dxa"/>
              <w:right w:w="90" w:type="dxa"/>
            </w:tcMar>
            <w:shd w:fill="F4F6F7"/>
          </w:tcPr>
          <w:p>
            <w:pPr>
              <w:spacing w:after="0" w:line="247" w:lineRule="auto"/>
            </w:pPr>
            <w:r>
              <w:rPr>
                <w:b w:val="0"/>
                <w:i w:val="0"/>
                <w:sz w:val="18"/>
              </w:rPr>
              <w:t>Retry et corps non maîtrisés</w:t>
            </w:r>
          </w:p>
        </w:tc>
        <w:tc>
          <w:tcPr>
            <w:tcW w:type="dxa" w:w="1944"/>
            <w:vAlign w:val="center"/>
            <w:tcMar>
              <w:top w:w="80" w:type="dxa"/>
              <w:bottom w:w="80" w:type="dxa"/>
              <w:left w:w="90" w:type="dxa"/>
              <w:right w:w="90" w:type="dxa"/>
            </w:tcMar>
            <w:shd w:fill="F4F6F7"/>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4F6F7"/>
          </w:tcPr>
          <w:p>
            <w:pPr>
              <w:spacing w:after="0" w:line="247" w:lineRule="auto"/>
            </w:pPr>
            <w:r>
              <w:rPr>
                <w:b w:val="0"/>
                <w:i w:val="0"/>
                <w:sz w:val="18"/>
              </w:rPr>
              <w:t>Tests délais, abort, corps suspendu ; signal propagé</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F09 — HTML/soft 404</w:t>
            </w:r>
          </w:p>
        </w:tc>
        <w:tc>
          <w:tcPr>
            <w:tcW w:type="dxa" w:w="936"/>
            <w:vAlign w:val="center"/>
            <w:tcMar>
              <w:top w:w="80" w:type="dxa"/>
              <w:bottom w:w="80" w:type="dxa"/>
              <w:left w:w="90" w:type="dxa"/>
              <w:right w:w="90" w:type="dxa"/>
            </w:tcMar>
            <w:shd w:fill="FFFFFF"/>
          </w:tcPr>
          <w:p>
            <w:pPr>
              <w:spacing w:after="0" w:line="247" w:lineRule="auto"/>
            </w:pPr>
            <w:r>
              <w:rPr>
                <w:b w:val="0"/>
                <w:i w:val="0"/>
                <w:sz w:val="18"/>
              </w:rPr>
              <w:t>Moyen, P2</w:t>
            </w:r>
          </w:p>
        </w:tc>
        <w:tc>
          <w:tcPr>
            <w:tcW w:type="dxa" w:w="1584"/>
            <w:vAlign w:val="center"/>
            <w:tcMar>
              <w:top w:w="80" w:type="dxa"/>
              <w:bottom w:w="80" w:type="dxa"/>
              <w:left w:w="90" w:type="dxa"/>
              <w:right w:w="90" w:type="dxa"/>
            </w:tcMar>
            <w:shd w:fill="FFFFFF"/>
          </w:tcPr>
          <w:p>
            <w:pPr>
              <w:spacing w:after="0" w:line="247" w:lineRule="auto"/>
            </w:pPr>
            <w:r>
              <w:rPr>
                <w:b w:val="0"/>
                <w:i w:val="0"/>
                <w:sz w:val="18"/>
              </w:rPr>
              <w:t>HTML générique et HTTP 200</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PARTIELLEMENT CORRIGÉ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101 routes locales valides ; défaut public toujours présent</w:t>
            </w:r>
          </w:p>
        </w:tc>
      </w:tr>
      <w:tr>
        <w:trPr>
          <w:cantSplit/>
        </w:trPr>
        <w:tc>
          <w:tcPr>
            <w:tcW w:type="dxa" w:w="2376"/>
            <w:vAlign w:val="center"/>
            <w:tcMar>
              <w:top w:w="80" w:type="dxa"/>
              <w:bottom w:w="80" w:type="dxa"/>
              <w:left w:w="90" w:type="dxa"/>
              <w:right w:w="90" w:type="dxa"/>
            </w:tcMar>
            <w:shd w:fill="F4F6F7"/>
          </w:tcPr>
          <w:p>
            <w:pPr>
              <w:spacing w:after="0" w:line="247" w:lineRule="auto"/>
            </w:pPr>
            <w:r>
              <w:rPr>
                <w:b w:val="0"/>
                <w:i w:val="0"/>
                <w:sz w:val="18"/>
              </w:rPr>
              <w:t>F10 — Promesses et scores</w:t>
            </w:r>
          </w:p>
        </w:tc>
        <w:tc>
          <w:tcPr>
            <w:tcW w:type="dxa" w:w="936"/>
            <w:vAlign w:val="center"/>
            <w:tcMar>
              <w:top w:w="80" w:type="dxa"/>
              <w:bottom w:w="80" w:type="dxa"/>
              <w:left w:w="90" w:type="dxa"/>
              <w:right w:w="90" w:type="dxa"/>
            </w:tcMar>
            <w:shd w:fill="F4F6F7"/>
          </w:tcPr>
          <w:p>
            <w:pPr>
              <w:spacing w:after="0" w:line="247" w:lineRule="auto"/>
            </w:pPr>
            <w:r>
              <w:rPr>
                <w:b w:val="0"/>
                <w:i w:val="0"/>
                <w:sz w:val="18"/>
              </w:rPr>
              <w:t>Moyen, P2</w:t>
            </w:r>
          </w:p>
        </w:tc>
        <w:tc>
          <w:tcPr>
            <w:tcW w:type="dxa" w:w="1584"/>
            <w:vAlign w:val="center"/>
            <w:tcMar>
              <w:top w:w="80" w:type="dxa"/>
              <w:bottom w:w="80" w:type="dxa"/>
              <w:left w:w="90" w:type="dxa"/>
              <w:right w:w="90" w:type="dxa"/>
            </w:tcMar>
            <w:shd w:fill="F4F6F7"/>
          </w:tcPr>
          <w:p>
            <w:pPr>
              <w:spacing w:after="0" w:line="247" w:lineRule="auto"/>
            </w:pPr>
            <w:r>
              <w:rPr>
                <w:b w:val="0"/>
                <w:i w:val="0"/>
                <w:sz w:val="18"/>
              </w:rPr>
              <w:t>Définitions contradictoires</w:t>
            </w:r>
          </w:p>
        </w:tc>
        <w:tc>
          <w:tcPr>
            <w:tcW w:type="dxa" w:w="1944"/>
            <w:vAlign w:val="center"/>
            <w:tcMar>
              <w:top w:w="80" w:type="dxa"/>
              <w:bottom w:w="80" w:type="dxa"/>
              <w:left w:w="90" w:type="dxa"/>
              <w:right w:w="90" w:type="dxa"/>
            </w:tcMar>
            <w:shd w:fill="F4F6F7"/>
          </w:tcPr>
          <w:p>
            <w:pPr>
              <w:spacing w:after="0" w:line="247" w:lineRule="auto"/>
            </w:pPr>
            <w:r>
              <w:rPr>
                <w:b w:val="0"/>
                <w:i w:val="0"/>
                <w:sz w:val="18"/>
              </w:rPr>
              <w:t xml:space="preserve"> </w:t>
            </w:r>
            <w:r>
              <w:rPr>
                <w:b/>
                <w:i w:val="0"/>
                <w:sz w:val="18"/>
              </w:rPr>
              <w:t>PARTIELLEMENT CORRIGÉ</w:t>
            </w:r>
          </w:p>
        </w:tc>
        <w:tc>
          <w:tcPr>
            <w:tcW w:type="dxa" w:w="3197"/>
            <w:vAlign w:val="center"/>
            <w:tcMar>
              <w:top w:w="80" w:type="dxa"/>
              <w:bottom w:w="80" w:type="dxa"/>
              <w:left w:w="90" w:type="dxa"/>
              <w:right w:w="90" w:type="dxa"/>
            </w:tcMar>
            <w:shd w:fill="F4F6F7"/>
          </w:tcPr>
          <w:p>
            <w:pPr>
              <w:spacing w:after="0" w:line="247" w:lineRule="auto"/>
            </w:pPr>
            <w:r>
              <w:rPr>
                <w:b w:val="0"/>
                <w:i w:val="0"/>
                <w:sz w:val="18"/>
              </w:rPr>
              <w:t>Nombreux textes corrigés ; nouvelle confusion Blueprint démontrée</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F11 — Contrôles de livraison</w:t>
            </w:r>
          </w:p>
        </w:tc>
        <w:tc>
          <w:tcPr>
            <w:tcW w:type="dxa" w:w="936"/>
            <w:vAlign w:val="center"/>
            <w:tcMar>
              <w:top w:w="80" w:type="dxa"/>
              <w:bottom w:w="80" w:type="dxa"/>
              <w:left w:w="90" w:type="dxa"/>
              <w:right w:w="90" w:type="dxa"/>
            </w:tcMar>
            <w:shd w:fill="FFFFFF"/>
          </w:tcPr>
          <w:p>
            <w:pPr>
              <w:spacing w:after="0" w:line="247" w:lineRule="auto"/>
            </w:pPr>
            <w:r>
              <w:rPr>
                <w:b w:val="0"/>
                <w:i w:val="0"/>
                <w:sz w:val="18"/>
              </w:rPr>
              <w:t>Moyen, P2</w:t>
            </w:r>
          </w:p>
        </w:tc>
        <w:tc>
          <w:tcPr>
            <w:tcW w:type="dxa" w:w="1584"/>
            <w:vAlign w:val="center"/>
            <w:tcMar>
              <w:top w:w="80" w:type="dxa"/>
              <w:bottom w:w="80" w:type="dxa"/>
              <w:left w:w="90" w:type="dxa"/>
              <w:right w:w="90" w:type="dxa"/>
            </w:tcMar>
            <w:shd w:fill="FFFFFF"/>
          </w:tcPr>
          <w:p>
            <w:pPr>
              <w:spacing w:after="0" w:line="247" w:lineRule="auto"/>
            </w:pPr>
            <w:r>
              <w:rPr>
                <w:b w:val="0"/>
                <w:i w:val="0"/>
                <w:sz w:val="18"/>
              </w:rPr>
              <w:t>Checks insuffisamment reliés</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Pipeline commun bloquant et CI du HEAD réussie ; protections privées distinctes</w:t>
            </w:r>
          </w:p>
        </w:tc>
      </w:tr>
      <w:tr>
        <w:trPr>
          <w:cantSplit/>
        </w:trPr>
        <w:tc>
          <w:tcPr>
            <w:tcW w:type="dxa" w:w="2376"/>
            <w:vAlign w:val="center"/>
            <w:tcMar>
              <w:top w:w="80" w:type="dxa"/>
              <w:bottom w:w="80" w:type="dxa"/>
              <w:left w:w="90" w:type="dxa"/>
              <w:right w:w="90" w:type="dxa"/>
            </w:tcMar>
            <w:shd w:fill="F4F6F7"/>
          </w:tcPr>
          <w:p>
            <w:pPr>
              <w:spacing w:after="0" w:line="247" w:lineRule="auto"/>
            </w:pPr>
            <w:r>
              <w:rPr>
                <w:b w:val="0"/>
                <w:i w:val="0"/>
                <w:sz w:val="18"/>
              </w:rPr>
              <w:t>F12 — Confidentialité</w:t>
            </w:r>
          </w:p>
        </w:tc>
        <w:tc>
          <w:tcPr>
            <w:tcW w:type="dxa" w:w="936"/>
            <w:vAlign w:val="center"/>
            <w:tcMar>
              <w:top w:w="80" w:type="dxa"/>
              <w:bottom w:w="80" w:type="dxa"/>
              <w:left w:w="90" w:type="dxa"/>
              <w:right w:w="90" w:type="dxa"/>
            </w:tcMar>
            <w:shd w:fill="F4F6F7"/>
          </w:tcPr>
          <w:p>
            <w:pPr>
              <w:spacing w:after="0" w:line="247" w:lineRule="auto"/>
            </w:pPr>
            <w:r>
              <w:rPr>
                <w:b w:val="0"/>
                <w:i w:val="0"/>
                <w:sz w:val="18"/>
              </w:rPr>
              <w:t>Moyen, P2</w:t>
            </w:r>
          </w:p>
        </w:tc>
        <w:tc>
          <w:tcPr>
            <w:tcW w:type="dxa" w:w="1584"/>
            <w:vAlign w:val="center"/>
            <w:tcMar>
              <w:top w:w="80" w:type="dxa"/>
              <w:bottom w:w="80" w:type="dxa"/>
              <w:left w:w="90" w:type="dxa"/>
              <w:right w:w="90" w:type="dxa"/>
            </w:tcMar>
            <w:shd w:fill="F4F6F7"/>
          </w:tcPr>
          <w:p>
            <w:pPr>
              <w:spacing w:after="0" w:line="247" w:lineRule="auto"/>
            </w:pPr>
            <w:r>
              <w:rPr>
                <w:b w:val="0"/>
                <w:i w:val="0"/>
                <w:sz w:val="18"/>
              </w:rPr>
              <w:t>Mentions absolues inexactes</w:t>
            </w:r>
          </w:p>
        </w:tc>
        <w:tc>
          <w:tcPr>
            <w:tcW w:type="dxa" w:w="1944"/>
            <w:vAlign w:val="center"/>
            <w:tcMar>
              <w:top w:w="80" w:type="dxa"/>
              <w:bottom w:w="80" w:type="dxa"/>
              <w:left w:w="90" w:type="dxa"/>
              <w:right w:w="90" w:type="dxa"/>
            </w:tcMar>
            <w:shd w:fill="F4F6F7"/>
          </w:tcPr>
          <w:p>
            <w:pPr>
              <w:spacing w:after="0" w:line="247" w:lineRule="auto"/>
            </w:pPr>
            <w:r>
              <w:rPr>
                <w:b w:val="0"/>
                <w:i w:val="0"/>
                <w:sz w:val="18"/>
              </w:rPr>
              <w:t xml:space="preserve"> </w:t>
            </w:r>
            <w:r>
              <w:rPr>
                <w:b/>
                <w:i w:val="0"/>
                <w:sz w:val="18"/>
              </w:rPr>
              <w:t>CORRIGÉ ET VÉRIFIÉ</w:t>
            </w:r>
            <w:r>
              <w:rPr>
                <w:b w:val="0"/>
                <w:i w:val="0"/>
                <w:sz w:val="18"/>
              </w:rPr>
              <w:t>, techniquement sur candidat</w:t>
            </w:r>
          </w:p>
        </w:tc>
        <w:tc>
          <w:tcPr>
            <w:tcW w:type="dxa" w:w="3197"/>
            <w:vAlign w:val="center"/>
            <w:tcMar>
              <w:top w:w="80" w:type="dxa"/>
              <w:bottom w:w="80" w:type="dxa"/>
              <w:left w:w="90" w:type="dxa"/>
              <w:right w:w="90" w:type="dxa"/>
            </w:tcMar>
            <w:shd w:fill="F4F6F7"/>
          </w:tcPr>
          <w:p>
            <w:pPr>
              <w:spacing w:after="0" w:line="247" w:lineRule="auto"/>
            </w:pPr>
            <w:r>
              <w:rPr>
                <w:b w:val="0"/>
                <w:i w:val="0"/>
                <w:sz w:val="18"/>
              </w:rPr>
              <w:t>Mentions Scryfall, fonts, stockage, effacement et Sentry confrontées au code ; publication non acquise</w:t>
            </w:r>
          </w:p>
        </w:tc>
      </w:tr>
      <w:tr>
        <w:trPr>
          <w:cantSplit/>
        </w:trPr>
        <w:tc>
          <w:tcPr>
            <w:tcW w:type="dxa" w:w="2376"/>
            <w:vAlign w:val="center"/>
            <w:tcMar>
              <w:top w:w="80" w:type="dxa"/>
              <w:bottom w:w="80" w:type="dxa"/>
              <w:left w:w="90" w:type="dxa"/>
              <w:right w:w="90" w:type="dxa"/>
            </w:tcMar>
            <w:shd w:fill="FFFFFF"/>
          </w:tcPr>
          <w:p>
            <w:pPr>
              <w:spacing w:after="0" w:line="247" w:lineRule="auto"/>
            </w:pPr>
            <w:r>
              <w:rPr>
                <w:b w:val="0"/>
                <w:i w:val="0"/>
                <w:sz w:val="18"/>
              </w:rPr>
              <w:t>F13 — Worker fatal</w:t>
            </w:r>
          </w:p>
        </w:tc>
        <w:tc>
          <w:tcPr>
            <w:tcW w:type="dxa" w:w="936"/>
            <w:vAlign w:val="center"/>
            <w:tcMar>
              <w:top w:w="80" w:type="dxa"/>
              <w:bottom w:w="80" w:type="dxa"/>
              <w:left w:w="90" w:type="dxa"/>
              <w:right w:w="90" w:type="dxa"/>
            </w:tcMar>
            <w:shd w:fill="FFFFFF"/>
          </w:tcPr>
          <w:p>
            <w:pPr>
              <w:spacing w:after="0" w:line="247" w:lineRule="auto"/>
            </w:pPr>
            <w:r>
              <w:rPr>
                <w:b w:val="0"/>
                <w:i w:val="0"/>
                <w:sz w:val="18"/>
              </w:rPr>
              <w:t>Moyen, P2</w:t>
            </w:r>
          </w:p>
        </w:tc>
        <w:tc>
          <w:tcPr>
            <w:tcW w:type="dxa" w:w="1584"/>
            <w:vAlign w:val="center"/>
            <w:tcMar>
              <w:top w:w="80" w:type="dxa"/>
              <w:bottom w:w="80" w:type="dxa"/>
              <w:left w:w="90" w:type="dxa"/>
              <w:right w:w="90" w:type="dxa"/>
            </w:tcMar>
            <w:shd w:fill="FFFFFF"/>
          </w:tcPr>
          <w:p>
            <w:pPr>
              <w:spacing w:after="0" w:line="247" w:lineRule="auto"/>
            </w:pPr>
            <w:r>
              <w:rPr>
                <w:b w:val="0"/>
                <w:i w:val="0"/>
                <w:sz w:val="18"/>
              </w:rPr>
              <w:t>Chargement potentiellement permanent</w:t>
            </w:r>
          </w:p>
        </w:tc>
        <w:tc>
          <w:tcPr>
            <w:tcW w:type="dxa" w:w="1944"/>
            <w:vAlign w:val="center"/>
            <w:tcMar>
              <w:top w:w="80" w:type="dxa"/>
              <w:bottom w:w="80" w:type="dxa"/>
              <w:left w:w="90" w:type="dxa"/>
              <w:right w:w="90" w:type="dxa"/>
            </w:tcMar>
            <w:shd w:fill="FFFFFF"/>
          </w:tcPr>
          <w:p>
            <w:pPr>
              <w:spacing w:after="0" w:line="247" w:lineRule="auto"/>
            </w:pPr>
            <w:r>
              <w:rPr>
                <w:b w:val="0"/>
                <w:i w:val="0"/>
                <w:sz w:val="18"/>
              </w:rPr>
              <w:t xml:space="preserve"> </w:t>
            </w:r>
            <w:r>
              <w:rPr>
                <w:b/>
                <w:i w:val="0"/>
                <w:sz w:val="18"/>
              </w:rPr>
              <w:t>CORRIGÉ ET VÉRIFIÉ</w:t>
            </w:r>
          </w:p>
        </w:tc>
        <w:tc>
          <w:tcPr>
            <w:tcW w:type="dxa" w:w="3197"/>
            <w:vAlign w:val="center"/>
            <w:tcMar>
              <w:top w:w="80" w:type="dxa"/>
              <w:bottom w:w="80" w:type="dxa"/>
              <w:left w:w="90" w:type="dxa"/>
              <w:right w:w="90" w:type="dxa"/>
            </w:tcMar>
            <w:shd w:fill="FFFFFF"/>
          </w:tcPr>
          <w:p>
            <w:pPr>
              <w:spacing w:after="0" w:line="247" w:lineRule="auto"/>
            </w:pPr>
            <w:r>
              <w:rPr>
                <w:b w:val="0"/>
                <w:i w:val="0"/>
                <w:sz w:val="18"/>
              </w:rPr>
              <w:t>Construction/error/messageerror/démarrage, annulation et relance couverts</w:t>
            </w:r>
          </w:p>
        </w:tc>
      </w:tr>
    </w:tbl>
    <w:p>
      <w:pPr>
        <w:spacing w:after="40"/>
      </w:pPr>
    </w:p>
    <w:p>
      <w:pPr/>
      <w:r>
        <w:rPr>
          <w:b w:val="0"/>
          <w:i w:val="0"/>
        </w:rPr>
        <w:t xml:space="preserve">Les principaux emplacements sont le </w:t>
      </w:r>
      <w:hyperlink r:id="rId11">
        <w:r>
          <w:rPr>
            <w:color w:val="175575"/>
          </w:rPr>
          <w:t>parseur canonique</w:t>
        </w:r>
      </w:hyperlink>
      <w:r>
        <w:rPr>
          <w:b w:val="0"/>
          <w:i w:val="0"/>
        </w:rPr>
        <w:t xml:space="preserve">, les </w:t>
      </w:r>
      <w:hyperlink r:id="rId12">
        <w:r>
          <w:rPr>
            <w:color w:val="175575"/>
          </w:rPr>
          <w:t>cibles de couleurs</w:t>
        </w:r>
      </w:hyperlink>
      <w:r>
        <w:rPr>
          <w:b w:val="0"/>
          <w:i w:val="0"/>
        </w:rPr>
        <w:t xml:space="preserve">, le </w:t>
      </w:r>
      <w:hyperlink r:id="rId13">
        <w:r>
          <w:rPr>
            <w:color w:val="175575"/>
          </w:rPr>
          <w:t>contrôle des générations</w:t>
        </w:r>
      </w:hyperlink>
      <w:r>
        <w:rPr>
          <w:b w:val="0"/>
          <w:i w:val="0"/>
        </w:rPr>
        <w:t xml:space="preserve">, la </w:t>
      </w:r>
      <w:hyperlink r:id="rId14">
        <w:r>
          <w:rPr>
            <w:color w:val="175575"/>
          </w:rPr>
          <w:t>validation de l’historique</w:t>
        </w:r>
      </w:hyperlink>
      <w:r>
        <w:rPr>
          <w:b w:val="0"/>
          <w:i w:val="0"/>
        </w:rPr>
        <w:t xml:space="preserve"> et le </w:t>
      </w:r>
      <w:hyperlink r:id="rId15">
        <w:r>
          <w:rPr>
            <w:color w:val="175575"/>
          </w:rPr>
          <w:t>contrat réseau</w:t>
        </w:r>
      </w:hyperlink>
      <w:r>
        <w:rPr>
          <w:b w:val="0"/>
          <w:i w:val="0"/>
        </w:rPr>
        <w:t>.</w:t>
      </w:r>
    </w:p>
    <w:p>
      <w:pPr/>
      <w:r>
        <w:rPr>
          <w:b/>
          <w:i w:val="0"/>
        </w:rPr>
        <w:t>Décompte des treize défauts historiques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709"/>
      </w:tblGrid>
      <w:tr>
        <w:trPr>
          <w:cantSplit/>
          <w:tblHeader/>
        </w:trPr>
        <w:tc>
          <w:tcPr>
            <w:tcW w:type="dxa" w:w="5328"/>
            <w:vAlign w:val="center"/>
            <w:tcMar>
              <w:top w:w="80" w:type="dxa"/>
              <w:bottom w:w="80" w:type="dxa"/>
              <w:left w:w="90" w:type="dxa"/>
              <w:right w:w="90" w:type="dxa"/>
            </w:tcMar>
            <w:shd w:fill="DCE6EB"/>
          </w:tcPr>
          <w:p>
            <w:pPr>
              <w:spacing w:after="0" w:line="247" w:lineRule="auto"/>
            </w:pPr>
            <w:r>
              <w:rPr>
                <w:b/>
                <w:i w:val="0"/>
                <w:sz w:val="18"/>
              </w:rPr>
              <w:t>État</w:t>
            </w:r>
          </w:p>
        </w:tc>
        <w:tc>
          <w:tcPr>
            <w:tcW w:type="dxa" w:w="4709"/>
            <w:vAlign w:val="center"/>
            <w:tcMar>
              <w:top w:w="80" w:type="dxa"/>
              <w:bottom w:w="80" w:type="dxa"/>
              <w:left w:w="90" w:type="dxa"/>
              <w:right w:w="90" w:type="dxa"/>
            </w:tcMar>
            <w:shd w:fill="DCE6EB"/>
          </w:tcPr>
          <w:p>
            <w:pPr>
              <w:spacing w:after="0" w:line="247" w:lineRule="auto"/>
            </w:pPr>
            <w:r>
              <w:rPr>
                <w:b/>
                <w:i w:val="0"/>
                <w:sz w:val="18"/>
              </w:rPr>
              <w:t>Nombre</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Corrigés et vérifiés</w:t>
            </w:r>
          </w:p>
        </w:tc>
        <w:tc>
          <w:tcPr>
            <w:tcW w:type="dxa" w:w="4709"/>
            <w:vAlign w:val="center"/>
            <w:tcMar>
              <w:top w:w="80" w:type="dxa"/>
              <w:bottom w:w="80" w:type="dxa"/>
              <w:left w:w="90" w:type="dxa"/>
              <w:right w:w="90" w:type="dxa"/>
            </w:tcMar>
            <w:shd w:fill="FFFFFF"/>
          </w:tcPr>
          <w:p>
            <w:pPr>
              <w:spacing w:after="0" w:line="247" w:lineRule="auto"/>
            </w:pPr>
            <w:r>
              <w:rPr>
                <w:b/>
                <w:i w:val="0"/>
                <w:sz w:val="18"/>
              </w:rPr>
              <w:t>11</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Partiellement corrigés</w:t>
            </w:r>
          </w:p>
        </w:tc>
        <w:tc>
          <w:tcPr>
            <w:tcW w:type="dxa" w:w="4709"/>
            <w:vAlign w:val="center"/>
            <w:tcMar>
              <w:top w:w="80" w:type="dxa"/>
              <w:bottom w:w="80" w:type="dxa"/>
              <w:left w:w="90" w:type="dxa"/>
              <w:right w:w="90" w:type="dxa"/>
            </w:tcMar>
            <w:shd w:fill="F4F6F7"/>
          </w:tcPr>
          <w:p>
            <w:pPr>
              <w:spacing w:after="0" w:line="247" w:lineRule="auto"/>
            </w:pPr>
            <w:r>
              <w:rPr>
                <w:b/>
                <w:i w:val="0"/>
                <w:sz w:val="18"/>
              </w:rPr>
              <w:t>2</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Corrigés mais insuffisamment vérifiés</w:t>
            </w:r>
          </w:p>
        </w:tc>
        <w:tc>
          <w:tcPr>
            <w:tcW w:type="dxa" w:w="4709"/>
            <w:vAlign w:val="center"/>
            <w:tcMar>
              <w:top w:w="80" w:type="dxa"/>
              <w:bottom w:w="80" w:type="dxa"/>
              <w:left w:w="90" w:type="dxa"/>
              <w:right w:w="90" w:type="dxa"/>
            </w:tcMar>
            <w:shd w:fill="FFFFFF"/>
          </w:tcPr>
          <w:p>
            <w:pPr>
              <w:spacing w:after="0" w:line="247" w:lineRule="auto"/>
            </w:pPr>
            <w:r>
              <w:rPr>
                <w:b/>
                <w:i w:val="0"/>
                <w:sz w:val="18"/>
              </w:rPr>
              <w:t>0</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Toujours présents sans correction effective</w:t>
            </w:r>
          </w:p>
        </w:tc>
        <w:tc>
          <w:tcPr>
            <w:tcW w:type="dxa" w:w="4709"/>
            <w:vAlign w:val="center"/>
            <w:tcMar>
              <w:top w:w="80" w:type="dxa"/>
              <w:bottom w:w="80" w:type="dxa"/>
              <w:left w:w="90" w:type="dxa"/>
              <w:right w:w="90" w:type="dxa"/>
            </w:tcMar>
            <w:shd w:fill="F4F6F7"/>
          </w:tcPr>
          <w:p>
            <w:pPr>
              <w:spacing w:after="0" w:line="247" w:lineRule="auto"/>
            </w:pPr>
            <w:r>
              <w:rPr>
                <w:b/>
                <w:i w:val="0"/>
                <w:sz w:val="18"/>
              </w:rPr>
              <w:t>0</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Reclassés intégralement en régression</w:t>
            </w:r>
          </w:p>
        </w:tc>
        <w:tc>
          <w:tcPr>
            <w:tcW w:type="dxa" w:w="4709"/>
            <w:vAlign w:val="center"/>
            <w:tcMar>
              <w:top w:w="80" w:type="dxa"/>
              <w:bottom w:w="80" w:type="dxa"/>
              <w:left w:w="90" w:type="dxa"/>
              <w:right w:w="90" w:type="dxa"/>
            </w:tcMar>
            <w:shd w:fill="FFFFFF"/>
          </w:tcPr>
          <w:p>
            <w:pPr>
              <w:spacing w:after="0" w:line="247" w:lineRule="auto"/>
            </w:pPr>
            <w:r>
              <w:rPr>
                <w:b/>
                <w:i w:val="0"/>
                <w:sz w:val="18"/>
              </w:rPr>
              <w:t>0</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Non vérifiables</w:t>
            </w:r>
          </w:p>
        </w:tc>
        <w:tc>
          <w:tcPr>
            <w:tcW w:type="dxa" w:w="4709"/>
            <w:vAlign w:val="center"/>
            <w:tcMar>
              <w:top w:w="80" w:type="dxa"/>
              <w:bottom w:w="80" w:type="dxa"/>
              <w:left w:w="90" w:type="dxa"/>
              <w:right w:w="90" w:type="dxa"/>
            </w:tcMar>
            <w:shd w:fill="F4F6F7"/>
          </w:tcPr>
          <w:p>
            <w:pPr>
              <w:spacing w:after="0" w:line="247" w:lineRule="auto"/>
            </w:pPr>
            <w:r>
              <w:rPr>
                <w:b/>
                <w:i w:val="0"/>
                <w:sz w:val="18"/>
              </w:rPr>
              <w:t>0</w:t>
            </w:r>
          </w:p>
        </w:tc>
      </w:tr>
      <w:tr>
        <w:trPr>
          <w:cantSplit/>
        </w:trPr>
        <w:tc>
          <w:tcPr>
            <w:tcW w:type="dxa" w:w="5328"/>
            <w:vAlign w:val="center"/>
            <w:tcMar>
              <w:top w:w="80" w:type="dxa"/>
              <w:bottom w:w="80" w:type="dxa"/>
              <w:left w:w="90" w:type="dxa"/>
              <w:right w:w="90" w:type="dxa"/>
            </w:tcMar>
            <w:shd w:fill="FFFFFF"/>
          </w:tcPr>
          <w:p>
            <w:pPr>
              <w:spacing w:after="0" w:line="247" w:lineRule="auto"/>
            </w:pPr>
            <w:r>
              <w:rPr>
                <w:b/>
                <w:i w:val="0"/>
                <w:sz w:val="18"/>
              </w:rPr>
              <w:t>Total</w:t>
            </w:r>
          </w:p>
        </w:tc>
        <w:tc>
          <w:tcPr>
            <w:tcW w:type="dxa" w:w="4709"/>
            <w:vAlign w:val="center"/>
            <w:tcMar>
              <w:top w:w="80" w:type="dxa"/>
              <w:bottom w:w="80" w:type="dxa"/>
              <w:left w:w="90" w:type="dxa"/>
              <w:right w:w="90" w:type="dxa"/>
            </w:tcMar>
            <w:shd w:fill="FFFFFF"/>
          </w:tcPr>
          <w:p>
            <w:pPr>
              <w:spacing w:after="0" w:line="247" w:lineRule="auto"/>
            </w:pPr>
            <w:r>
              <w:rPr>
                <w:b/>
                <w:i w:val="0"/>
                <w:sz w:val="18"/>
              </w:rPr>
              <w:t>13</w:t>
            </w:r>
          </w:p>
        </w:tc>
      </w:tr>
    </w:tbl>
    <w:p>
      <w:pPr>
        <w:spacing w:after="40"/>
      </w:pPr>
    </w:p>
    <w:p>
      <w:pPr/>
      <w:r>
        <w:rPr>
          <w:b w:val="0"/>
          <w:i w:val="0"/>
        </w:rPr>
        <w:t>F09 conserve néanmoins son symptôme en production. F10 contient une régression localisée décrite ci-dessous ; elle n’est pas comptée une deuxième fois parmi les treize défauts.</w:t>
      </w:r>
    </w:p>
    <w:p>
      <w:pPr>
        <w:pStyle w:val="Heading1"/>
      </w:pPr>
      <w:r>
        <w:rPr>
          <w:b w:val="0"/>
          <w:i w:val="0"/>
        </w:rPr>
        <w:t>7. Nouveaux problèmes détectés</w:t>
      </w:r>
    </w:p>
    <w:p>
      <w:pPr>
        <w:pStyle w:val="Heading2"/>
      </w:pPr>
      <w:r>
        <w:rPr>
          <w:b w:val="0"/>
          <w:i w:val="0"/>
        </w:rPr>
        <w:t>N01 — Le Blueprint décrit son indice composite comme un accès au tour deux</w:t>
      </w:r>
    </w:p>
    <w:p>
      <w:pPr/>
      <w:r>
        <w:rPr>
          <w:b/>
        </w:rPr>
        <w:t xml:space="preserve">SÉVÉRITÉ : MOYEN — P2 </w:t>
        <w:br/>
        <w:t xml:space="preserve">DOMAINE : UX, données affichées, exports </w:t>
        <w:br/>
        <w:t>NATURE : RÉGRESSION éditoriale introduite par les correctifs</w:t>
      </w:r>
    </w:p>
    <w:p>
      <w:pPr/>
      <w:r>
        <w:rPr>
          <w:b/>
          <w:i w:val="0"/>
        </w:rPr>
        <w:t>Fichier:ligne :</w:t>
      </w:r>
      <w:r>
        <w:rPr>
          <w:b w:val="0"/>
          <w:i w:val="0"/>
        </w:rPr>
        <w:t xml:space="preserve"> </w:t>
      </w:r>
      <w:hyperlink r:id="rId16">
        <w:r>
          <w:rPr>
            <w:color w:val="175575"/>
          </w:rPr>
          <w:t>ManaBlueprint.tsx:60</w:t>
        </w:r>
      </w:hyperlink>
      <w:r>
        <w:rPr>
          <w:b w:val="0"/>
          <w:i w:val="0"/>
        </w:rPr>
        <w:t xml:space="preserve">, avec </w:t>
      </w:r>
      <w:hyperlink r:id="rId17">
        <w:r>
          <w:rPr>
            <w:color w:val="175575"/>
          </w:rPr>
          <w:t>manaStability.ts:9</w:t>
        </w:r>
      </w:hyperlink>
      <w:r>
        <w:rPr>
          <w:b w:val="0"/>
          <w:i w:val="0"/>
        </w:rPr>
        <w:t>.</w:t>
      </w:r>
    </w:p>
    <w:p>
      <w:pPr/>
      <w:r>
        <w:rPr>
          <w:b/>
          <w:i w:val="0"/>
        </w:rPr>
        <w:t>Problème.</w:t>
      </w:r>
      <w:r>
        <w:rPr>
          <w:b w:val="0"/>
          <w:i w:val="0"/>
        </w:rPr>
        <w:t xml:space="preserve"> Le texte indique « Heuristic turn-two color access ». Pourtant, l’indice combine :</w:t>
      </w:r>
    </w:p>
    <w:p>
      <w:pPr>
        <w:pStyle w:val="ListBullet"/>
      </w:pPr>
      <w:r>
        <w:rPr>
          <w:b w:val="0"/>
          <w:i w:val="0"/>
        </w:rPr>
        <w:t>40 % de consistency ;</w:t>
      </w:r>
    </w:p>
    <w:p>
      <w:pPr>
        <w:pStyle w:val="ListBullet"/>
      </w:pPr>
      <w:r>
        <w:rPr>
          <w:b w:val="0"/>
          <w:i w:val="0"/>
        </w:rPr>
        <w:t>20 % de score de proportion de terrains ;</w:t>
      </w:r>
    </w:p>
    <w:p>
      <w:pPr>
        <w:pStyle w:val="ListBullet"/>
      </w:pPr>
      <w:r>
        <w:rPr>
          <w:b w:val="0"/>
          <w:i w:val="0"/>
        </w:rPr>
        <w:t>25 % d’accès T2 ;</w:t>
      </w:r>
    </w:p>
    <w:p>
      <w:pPr>
        <w:pStyle w:val="ListBullet"/>
      </w:pPr>
      <w:r>
        <w:rPr>
          <w:b w:val="0"/>
          <w:i w:val="0"/>
        </w:rPr>
        <w:t>15 % d’accès T4.</w:t>
      </w:r>
    </w:p>
    <w:p>
      <w:pPr/>
      <w:r>
        <w:rPr>
          <w:b/>
          <w:i w:val="0"/>
        </w:rPr>
        <w:t>Preuve.</w:t>
      </w:r>
      <w:r>
        <w:rPr>
          <w:b w:val="0"/>
          <w:i w:val="0"/>
        </w:rPr>
        <w:t xml:space="preserve"> Sur le candidat vérifié, avec </w:t>
      </w:r>
      <w:r>
        <w:rPr>
          <w:rFonts w:ascii="Calibri" w:hAnsi="Calibri"/>
          <w:b w:val="0"/>
          <w:i w:val="0"/>
          <w:sz w:val="18"/>
        </w:rPr>
        <w:t>12 Forest</w:t>
      </w:r>
      <w:r>
        <w:rPr>
          <w:b w:val="0"/>
          <w:i w:val="0"/>
        </w:rPr>
        <w:t xml:space="preserve"> et </w:t>
      </w:r>
      <w:r>
        <w:rPr>
          <w:rFonts w:ascii="Calibri" w:hAnsi="Calibri"/>
          <w:b w:val="0"/>
          <w:i w:val="0"/>
          <w:sz w:val="18"/>
        </w:rPr>
        <w:t>48 Llanowar Elves</w:t>
      </w:r>
      <w:r>
        <w:rPr>
          <w:b w:val="0"/>
          <w:i w:val="0"/>
        </w:rPr>
        <w:t xml:space="preserve">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709"/>
      </w:tblGrid>
      <w:tr>
        <w:trPr>
          <w:cantSplit/>
          <w:tblHeader/>
        </w:trPr>
        <w:tc>
          <w:tcPr>
            <w:tcW w:type="dxa" w:w="5328"/>
            <w:vAlign w:val="center"/>
            <w:tcMar>
              <w:top w:w="80" w:type="dxa"/>
              <w:bottom w:w="80" w:type="dxa"/>
              <w:left w:w="90" w:type="dxa"/>
              <w:right w:w="90" w:type="dxa"/>
            </w:tcMar>
            <w:shd w:fill="DCE6EB"/>
          </w:tcPr>
          <w:p>
            <w:pPr>
              <w:spacing w:after="0" w:line="247" w:lineRule="auto"/>
            </w:pPr>
            <w:r>
              <w:rPr>
                <w:b/>
                <w:i w:val="0"/>
                <w:sz w:val="18"/>
              </w:rPr>
              <w:t>Mesure</w:t>
            </w:r>
          </w:p>
        </w:tc>
        <w:tc>
          <w:tcPr>
            <w:tcW w:type="dxa" w:w="4709"/>
            <w:vAlign w:val="center"/>
            <w:tcMar>
              <w:top w:w="80" w:type="dxa"/>
              <w:bottom w:w="80" w:type="dxa"/>
              <w:left w:w="90" w:type="dxa"/>
              <w:right w:w="90" w:type="dxa"/>
            </w:tcMar>
            <w:shd w:fill="DCE6EB"/>
          </w:tcPr>
          <w:p>
            <w:pPr>
              <w:spacing w:after="0" w:line="247" w:lineRule="auto"/>
            </w:pPr>
            <w:r>
              <w:rPr>
                <w:b/>
                <w:i w:val="0"/>
                <w:sz w:val="18"/>
              </w:rPr>
              <w:t>Résultat</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Accès T2 calculé</w:t>
            </w:r>
          </w:p>
        </w:tc>
        <w:tc>
          <w:tcPr>
            <w:tcW w:type="dxa" w:w="4709"/>
            <w:vAlign w:val="center"/>
            <w:tcMar>
              <w:top w:w="80" w:type="dxa"/>
              <w:bottom w:w="80" w:type="dxa"/>
              <w:left w:w="90" w:type="dxa"/>
              <w:right w:w="90" w:type="dxa"/>
            </w:tcMar>
            <w:shd w:fill="FFFFFF"/>
          </w:tcPr>
          <w:p>
            <w:pPr>
              <w:spacing w:after="0" w:line="247" w:lineRule="auto"/>
            </w:pPr>
            <w:r>
              <w:rPr>
                <w:b/>
                <w:i w:val="0"/>
                <w:sz w:val="18"/>
              </w:rPr>
              <w:t>85,2519 %</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Accès T4 calculé</w:t>
            </w:r>
          </w:p>
        </w:tc>
        <w:tc>
          <w:tcPr>
            <w:tcW w:type="dxa" w:w="4709"/>
            <w:vAlign w:val="center"/>
            <w:tcMar>
              <w:top w:w="80" w:type="dxa"/>
              <w:bottom w:w="80" w:type="dxa"/>
              <w:left w:w="90" w:type="dxa"/>
              <w:right w:w="90" w:type="dxa"/>
            </w:tcMar>
            <w:shd w:fill="F4F6F7"/>
          </w:tcPr>
          <w:p>
            <w:pPr>
              <w:spacing w:after="0" w:line="247" w:lineRule="auto"/>
            </w:pPr>
            <w:r>
              <w:rPr>
                <w:b/>
                <w:i w:val="0"/>
                <w:sz w:val="18"/>
              </w:rPr>
              <w:t>91,3246 %</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Indice Blueprint affiché</w:t>
            </w:r>
          </w:p>
        </w:tc>
        <w:tc>
          <w:tcPr>
            <w:tcW w:type="dxa" w:w="4709"/>
            <w:vAlign w:val="center"/>
            <w:tcMar>
              <w:top w:w="80" w:type="dxa"/>
              <w:bottom w:w="80" w:type="dxa"/>
              <w:left w:w="90" w:type="dxa"/>
              <w:right w:w="90" w:type="dxa"/>
            </w:tcMar>
            <w:shd w:fill="FFFFFF"/>
          </w:tcPr>
          <w:p>
            <w:pPr>
              <w:spacing w:after="0" w:line="247" w:lineRule="auto"/>
            </w:pPr>
            <w:r>
              <w:rPr>
                <w:b/>
                <w:i w:val="0"/>
                <w:sz w:val="18"/>
              </w:rPr>
              <w:t>69 — Average</w:t>
            </w:r>
          </w:p>
        </w:tc>
      </w:tr>
    </w:tbl>
    <w:p>
      <w:pPr>
        <w:spacing w:after="40"/>
      </w:pPr>
    </w:p>
    <w:p>
      <w:pPr/>
      <w:r>
        <w:rPr>
          <w:b/>
          <w:i w:val="0"/>
        </w:rPr>
        <w:t>Impact.</w:t>
      </w:r>
      <w:r>
        <w:rPr>
          <w:b w:val="0"/>
          <w:i w:val="0"/>
        </w:rPr>
        <w:t xml:space="preserve"> L’utilisateur peut interpréter 69 comme son accès T2, alors que ce nombre mesure autre chose.</w:t>
      </w:r>
    </w:p>
    <w:p>
      <w:pPr/>
      <w:r>
        <w:rPr>
          <w:b/>
          <w:i w:val="0"/>
        </w:rPr>
        <w:t>Cause probable.</w:t>
      </w:r>
      <w:r>
        <w:rPr>
          <w:b w:val="0"/>
          <w:i w:val="0"/>
        </w:rPr>
        <w:t xml:space="preserve"> L’unification du vocabulaire et des bandes de qualité a été étendue à deux métriques différentes. Le test éditorial vérifie notamment la présence de </w:t>
      </w:r>
      <w:r>
        <w:rPr>
          <w:rFonts w:ascii="Calibri" w:hAnsi="Calibri"/>
          <w:b w:val="0"/>
          <w:i w:val="0"/>
          <w:sz w:val="18"/>
        </w:rPr>
        <w:t>healthScoreBand</w:t>
      </w:r>
      <w:r>
        <w:rPr>
          <w:b w:val="0"/>
          <w:i w:val="0"/>
        </w:rPr>
        <w:t>, sans démontrer l’identité des événements mesurés.</w:t>
      </w:r>
    </w:p>
    <w:p>
      <w:pPr/>
      <w:r>
        <w:rPr>
          <w:b/>
          <w:i w:val="0"/>
        </w:rPr>
        <w:t>Correction recommandée, non appliquée.</w:t>
      </w:r>
      <w:r>
        <w:rPr>
          <w:b w:val="0"/>
          <w:i w:val="0"/>
        </w:rPr>
        <w:t xml:space="preserve"> Définir explicitement l’indice composite et ses facteurs, ou afficher réellement l’accès T2 sous ce libellé. Tester un deck où les deux nombres divergent.</w:t>
      </w:r>
    </w:p>
    <w:p>
      <w:pPr>
        <w:pStyle w:val="Heading2"/>
      </w:pPr>
      <w:r>
        <w:rPr>
          <w:b w:val="0"/>
          <w:i w:val="0"/>
        </w:rPr>
        <w:t>N02 — Le PNG exporté omet les cartes masquées dans la liste défilante</w:t>
      </w:r>
    </w:p>
    <w:p>
      <w:pPr/>
      <w:r>
        <w:rPr>
          <w:b/>
        </w:rPr>
        <w:t xml:space="preserve">SÉVÉRITÉ : MOYEN — P2 </w:t>
        <w:br/>
        <w:t xml:space="preserve">DOMAINE : Fonctionnel, exports </w:t>
        <w:br/>
        <w:t>NATURE : défaut préexistant nouvellement démontré, pas régression attribuable aux correctifs</w:t>
      </w:r>
    </w:p>
    <w:p>
      <w:pPr/>
      <w:r>
        <w:rPr>
          <w:b/>
          <w:i w:val="0"/>
        </w:rPr>
        <w:t>Fichier:ligne :</w:t>
      </w:r>
      <w:r>
        <w:rPr>
          <w:b w:val="0"/>
          <w:i w:val="0"/>
        </w:rPr>
        <w:t xml:space="preserve"> </w:t>
      </w:r>
      <w:hyperlink r:id="rId18">
        <w:r>
          <w:rPr>
            <w:color w:val="175575"/>
          </w:rPr>
          <w:t>ManaBlueprint.tsx:508</w:t>
        </w:r>
      </w:hyperlink>
      <w:r>
        <w:rPr>
          <w:b w:val="0"/>
          <w:i w:val="0"/>
        </w:rPr>
        <w:t xml:space="preserve">, capture PNG à </w:t>
      </w:r>
      <w:hyperlink r:id="rId19">
        <w:r>
          <w:rPr>
            <w:color w:val="175575"/>
          </w:rPr>
          <w:t>ManaBlueprint.tsx:111</w:t>
        </w:r>
      </w:hyperlink>
      <w:r>
        <w:rPr>
          <w:b w:val="0"/>
          <w:i w:val="0"/>
        </w:rPr>
        <w:t>.</w:t>
      </w:r>
    </w:p>
    <w:p>
      <w:pPr/>
      <w:r>
        <w:rPr>
          <w:b/>
          <w:i w:val="0"/>
        </w:rPr>
        <w:t>Problème.</w:t>
      </w:r>
      <w:r>
        <w:rPr>
          <w:b w:val="0"/>
          <w:i w:val="0"/>
        </w:rPr>
        <w:t xml:space="preserve"> La liste des sorts conserve </w:t>
      </w:r>
      <w:r>
        <w:rPr>
          <w:rFonts w:ascii="Calibri" w:hAnsi="Calibri"/>
          <w:b w:val="0"/>
          <w:i w:val="0"/>
          <w:sz w:val="18"/>
        </w:rPr>
        <w:t>maxHeight: 200</w:t>
      </w:r>
      <w:r>
        <w:rPr>
          <w:b w:val="0"/>
          <w:i w:val="0"/>
        </w:rPr>
        <w:t xml:space="preserve"> et </w:t>
      </w:r>
      <w:r>
        <w:rPr>
          <w:rFonts w:ascii="Calibri" w:hAnsi="Calibri"/>
          <w:b w:val="0"/>
          <w:i w:val="0"/>
          <w:sz w:val="18"/>
        </w:rPr>
        <w:t>overflowY: auto</w:t>
      </w:r>
      <w:r>
        <w:rPr>
          <w:b w:val="0"/>
          <w:i w:val="0"/>
        </w:rPr>
        <w:t xml:space="preserve"> pendant la capture.</w:t>
      </w:r>
    </w:p>
    <w:p>
      <w:pPr/>
      <w:r>
        <w:rPr>
          <w:b/>
          <w:i w:val="0"/>
        </w:rPr>
        <w:t>Preuve.</w:t>
      </w:r>
      <w:r>
        <w:rPr>
          <w:b w:val="0"/>
          <w:i w:val="0"/>
        </w:rPr>
        <w:t xml:space="preserve"> Sur le deck Try Example :</w:t>
      </w:r>
    </w:p>
    <w:p>
      <w:pPr>
        <w:pStyle w:val="ListBullet"/>
      </w:pPr>
      <w:r>
        <w:rPr>
          <w:b w:val="0"/>
          <w:i w:val="0"/>
        </w:rPr>
        <w:t xml:space="preserve">hauteur visible : </w:t>
      </w:r>
      <w:r>
        <w:rPr>
          <w:b/>
          <w:i w:val="0"/>
        </w:rPr>
        <w:t>200 px</w:t>
      </w:r>
      <w:r>
        <w:rPr>
          <w:b w:val="0"/>
          <w:i w:val="0"/>
        </w:rPr>
        <w:t xml:space="preserve"> ;</w:t>
      </w:r>
    </w:p>
    <w:p>
      <w:pPr>
        <w:pStyle w:val="ListBullet"/>
      </w:pPr>
      <w:r>
        <w:rPr>
          <w:b w:val="0"/>
          <w:i w:val="0"/>
        </w:rPr>
        <w:t xml:space="preserve">hauteur du contenu : </w:t>
      </w:r>
      <w:r>
        <w:rPr>
          <w:b/>
          <w:i w:val="0"/>
        </w:rPr>
        <w:t>307 px</w:t>
      </w:r>
      <w:r>
        <w:rPr>
          <w:b w:val="0"/>
          <w:i w:val="0"/>
        </w:rPr>
        <w:t xml:space="preserve"> ;</w:t>
      </w:r>
    </w:p>
    <w:p>
      <w:pPr>
        <w:pStyle w:val="ListBullet"/>
      </w:pPr>
      <w:r>
        <w:rPr>
          <w:b w:val="0"/>
          <w:i w:val="0"/>
        </w:rPr>
        <w:t>le PNG omet cinq lignes : Spider Manifestation, Archdruid’s Charm, Brightglass Gearhulk, Ouroboroid et Craterhoof Behemoth.</w:t>
      </w:r>
    </w:p>
    <w:p>
      <w:pPr/>
      <w:r>
        <w:rPr>
          <w:b w:val="0"/>
          <w:i w:val="0"/>
        </w:rPr>
        <w:t xml:space="preserve">Le </w:t>
      </w:r>
      <w:hyperlink r:id="rId20">
        <w:r>
          <w:rPr>
            <w:color w:val="175575"/>
          </w:rPr>
          <w:t>PNG effectivement produit</w:t>
        </w:r>
      </w:hyperlink>
      <w:r>
        <w:rPr>
          <w:b w:val="0"/>
          <w:i w:val="0"/>
        </w:rPr>
        <w:t xml:space="preserve"> a été inspecté visuellement.</w:t>
      </w:r>
    </w:p>
    <w:p>
      <w:pPr/>
      <w:r>
        <w:rPr>
          <w:b/>
          <w:i w:val="0"/>
        </w:rPr>
        <w:t>Impact.</w:t>
      </w:r>
      <w:r>
        <w:rPr>
          <w:b w:val="0"/>
          <w:i w:val="0"/>
        </w:rPr>
        <w:t xml:space="preserve"> L’image annonce 37 sorts, mais n’en restitue pas la liste complète. Elle constitue une représentation incomplète du deck partagé.</w:t>
      </w:r>
    </w:p>
    <w:p>
      <w:pPr/>
      <w:r>
        <w:rPr>
          <w:b/>
          <w:i w:val="0"/>
        </w:rPr>
        <w:t>Cause probable.</w:t>
      </w:r>
      <w:r>
        <w:rPr>
          <w:b w:val="0"/>
          <w:i w:val="0"/>
        </w:rPr>
        <w:t xml:space="preserve"> La capture reprend le composant interactif sans développer les zones défilantes. La pagination PDF corrige la hauteur du canvas, pas le contenu déjà masqué à l’intérieur.</w:t>
      </w:r>
    </w:p>
    <w:p>
      <w:pPr/>
      <w:r>
        <w:rPr>
          <w:b/>
          <w:i w:val="0"/>
        </w:rPr>
        <w:t>Correction recommandée, non appliquée.</w:t>
      </w:r>
      <w:r>
        <w:rPr>
          <w:b w:val="0"/>
          <w:i w:val="0"/>
        </w:rPr>
        <w:t xml:space="preserve"> Utiliser un rendu d’export sans contraintes de défilement et vérifier la présence de toutes les cartes attendues. Le défaut PNG est démontré ; le PDF partage le risque de capture, sans nouvelle reproduction PDF dans cette session.</w:t>
      </w:r>
    </w:p>
    <w:p>
      <w:pPr>
        <w:pStyle w:val="Heading1"/>
      </w:pPr>
      <w:r>
        <w:rPr>
          <w:b w:val="0"/>
          <w:i w:val="0"/>
        </w:rPr>
        <w:t>8. Fonctionnel</w:t>
      </w:r>
    </w:p>
    <w:p>
      <w:pPr/>
      <w:r>
        <w:rPr>
          <w:b w:val="0"/>
          <w:i w:val="0"/>
        </w:rPr>
        <w:t>Les anciens défauts les plus pénalisants sont effectivement neutralisés.</w:t>
      </w:r>
    </w:p>
    <w:p>
      <w:pPr/>
      <w:r>
        <w:rPr>
          <w:b w:val="0"/>
          <w:i w:val="0"/>
        </w:rPr>
        <w:t>Le texte non interprétable et la quantité d’un million produisent maintenant une erreur explicite. Les limites sont appliquées avant la résolution et l’expansion des cartes. Les formats de 40, 60, 99 et 100 cartes restent couverts ; la borne de 250 cartes est une limite de ressources, pas une règle de légalité MTG.</w:t>
      </w:r>
    </w:p>
    <w:p>
      <w:pPr/>
      <w:r>
        <w:rPr>
          <w:b w:val="0"/>
          <w:i w:val="0"/>
        </w:rPr>
        <w:t>Clear invalide le propriétaire de l’analyse avant l’annulation réseau. Les tests contrôlent aussi les services ignorant l’abort, les réponses obsolètes et les notifications.</w:t>
      </w:r>
    </w:p>
    <w:p>
      <w:pPr/>
      <w:r>
        <w:rPr>
          <w:b w:val="0"/>
          <w:i w:val="0"/>
        </w:rPr>
        <w:t>L’exemple résout vingt noms de cartes, produit soixante cartes et est sauvegardé. La comparaison de résultats validés et d’un score indisponible passe en Chromium.</w:t>
      </w:r>
    </w:p>
    <w:p>
      <w:pPr/>
      <w:r>
        <w:rPr>
          <w:b/>
          <w:i w:val="0"/>
        </w:rPr>
        <w:t>Réserve principale :</w:t>
      </w:r>
      <w:r>
        <w:rPr>
          <w:b w:val="0"/>
          <w:i w:val="0"/>
        </w:rPr>
        <w:t xml:space="preserve"> la fidélité des exports visuels n’est pas entièrement assurée.</w:t>
      </w:r>
    </w:p>
    <w:p>
      <w:pPr>
        <w:pStyle w:val="Heading1"/>
      </w:pPr>
      <w:r>
        <w:rPr>
          <w:b w:val="0"/>
          <w:i w:val="0"/>
        </w:rPr>
        <w:t>9. UX</w:t>
      </w:r>
    </w:p>
    <w:p>
      <w:pPr/>
      <w:r>
        <w:rPr>
          <w:b w:val="0"/>
          <w:i w:val="0"/>
        </w:rPr>
        <w:t>Les erreurs deviennent actionnables : ligne incorrecte identifiée, dépassement expliqué, import refusé sans écrasement et ancien deck récupérable.</w:t>
      </w:r>
    </w:p>
    <w:p>
      <w:pPr/>
      <w:r>
        <w:rPr>
          <w:b w:val="0"/>
          <w:i w:val="0"/>
        </w:rPr>
        <w:t>Les opérations de sauvegarde ne suppriment plus silencieusement d’anciennes entrées pour faire de la place. L’import fusionne les enregistrements et signale les doublons.</w:t>
      </w:r>
    </w:p>
    <w:p>
      <w:pPr/>
      <w:r>
        <w:rPr>
          <w:b w:val="0"/>
          <w:i w:val="0"/>
        </w:rPr>
        <w:t>Les explications des hybrides et des modèles non supportés évitent plusieurs conseils injustifiés.</w:t>
      </w:r>
    </w:p>
    <w:p>
      <w:pPr/>
      <w:r>
        <w:rPr>
          <w:b w:val="0"/>
          <w:i w:val="0"/>
        </w:rPr>
        <w:t>La confusion entre Health Score et indice Blueprint reste un obstacle à une compréhension fiable des résultats.</w:t>
      </w:r>
    </w:p>
    <w:p>
      <w:pPr>
        <w:pStyle w:val="Heading1"/>
      </w:pPr>
      <w:r>
        <w:rPr>
          <w:b w:val="0"/>
          <w:i w:val="0"/>
        </w:rPr>
        <w:t>10. UI</w:t>
      </w:r>
    </w:p>
    <w:p>
      <w:pPr/>
      <w:r>
        <w:rPr>
          <w:b w:val="0"/>
          <w:i w:val="0"/>
        </w:rPr>
        <w:t>L’identité visuelle demeure cohérente. Les changements améliorent certains libellés, états indisponibles et bandes de qualité.</w:t>
      </w:r>
    </w:p>
    <w:p>
      <w:pPr/>
      <w:r>
        <w:rPr>
          <w:b w:val="0"/>
          <w:i w:val="0"/>
        </w:rPr>
        <w:t>La note reste à 7/10 parce que l’audit a trouvé deux limites sur un livrable visuel important : définition incorrecte de l’indice et liste exportée incomplète.</w:t>
      </w:r>
    </w:p>
    <w:p>
      <w:pPr/>
      <w:r>
        <w:rPr>
          <w:b w:val="0"/>
          <w:i w:val="0"/>
        </w:rPr>
        <w:t>Aucune revue exhaustive supplémentaire du thème sombre ou de tous les états visuels n’a été réalisée.</w:t>
      </w:r>
    </w:p>
    <w:p>
      <w:pPr>
        <w:pStyle w:val="Heading1"/>
      </w:pPr>
      <w:r>
        <w:rPr>
          <w:b w:val="0"/>
          <w:i w:val="0"/>
        </w:rPr>
        <w:t>11. Responsive / Mobile</w:t>
      </w:r>
    </w:p>
    <w:p>
      <w:pPr/>
      <w:r>
        <w:rPr>
          <w:b w:val="0"/>
          <w:i w:val="0"/>
        </w:rPr>
        <w:t xml:space="preserve">Un seul scénario supplémentaire à </w:t>
      </w:r>
      <w:r>
        <w:rPr>
          <w:b/>
          <w:i w:val="0"/>
        </w:rPr>
        <w:t>360 px sous Chromium</w:t>
      </w:r>
      <w:r>
        <w:rPr>
          <w:b w:val="0"/>
          <w:i w:val="0"/>
        </w:rPr>
        <w:t xml:space="preserve"> a contrôlé la zone réellement corrigée : les sous-onglets Manabase.</w:t>
      </w:r>
    </w:p>
    <w:p>
      <w:pPr/>
      <w:r>
        <w:rPr>
          <w:b w:val="0"/>
          <w:i w:val="0"/>
        </w:rPr>
        <w:t>« Full Deck List » est entièrement visible, activable et affiche le deck. L’organisation mobile du bouton de partage et des onglets améliore le problème documenté en S001.</w:t>
      </w:r>
    </w:p>
    <w:p>
      <w:pPr/>
      <w:r>
        <w:rPr>
          <w:b w:val="0"/>
          <w:i w:val="0"/>
        </w:rPr>
        <w:t>Le Blueprint utilise une région défilante horizontalement. Cela rend le contenu accessible dans l’interface, sans garantir sa fidélité à l’export.</w:t>
      </w:r>
    </w:p>
    <w:p>
      <w:pPr/>
      <w:r>
        <w:rPr>
          <w:b/>
          <w:i w:val="0"/>
        </w:rPr>
        <w:t>Non validés :</w:t>
      </w:r>
      <w:r>
        <w:rPr>
          <w:b w:val="0"/>
          <w:i w:val="0"/>
        </w:rPr>
        <w:t xml:space="preserve"> appareils physiques, clavier virtuel, zoom complet et toutes les modales complexes. Aucun nouveau passage Safari/WebKit n’a été lancé.</w:t>
      </w:r>
    </w:p>
    <w:p>
      <w:pPr>
        <w:pStyle w:val="Heading1"/>
      </w:pPr>
      <w:r>
        <w:rPr>
          <w:b w:val="0"/>
          <w:i w:val="0"/>
        </w:rPr>
        <w:t>12. Accessibilité</w:t>
      </w:r>
    </w:p>
    <w:p>
      <w:pPr/>
      <w:r>
        <w:rPr>
          <w:b w:val="0"/>
          <w:i w:val="0"/>
        </w:rPr>
        <w:t>F07 est réellement corrigé : Edit Deck est un bouton nommé et focalisable. Le contrôle Chromium renouvelé vérifie Tab, Entrée, conservation du texte et retour du focus dans l’éditeur.</w:t>
      </w:r>
    </w:p>
    <w:p>
      <w:pPr/>
      <w:r>
        <w:rPr>
          <w:b w:val="0"/>
          <w:i w:val="0"/>
        </w:rPr>
        <w:t>Les tests de livraison bloquent désormais les violations axe « serious » et « critical ». Le contraste du footer est mesuré par une règle de contraste ; une fixture négative démontre sa détection.</w:t>
      </w:r>
    </w:p>
    <w:p>
      <w:pPr/>
      <w:r>
        <w:rPr>
          <w:b w:val="0"/>
          <w:i w:val="0"/>
        </w:rPr>
        <w:t xml:space="preserve">Ces progrès justifient </w:t>
      </w:r>
      <w:r>
        <w:rPr>
          <w:b/>
          <w:i w:val="0"/>
        </w:rPr>
        <w:t>4 → 7/10</w:t>
      </w:r>
      <w:r>
        <w:rPr>
          <w:b w:val="0"/>
          <w:i w:val="0"/>
        </w:rPr>
        <w:t>. Ils ne constituent pas une validation WCAG AA complète : lecteur d’écran, zoom, aides et composants complexes restent à examiner.</w:t>
      </w:r>
    </w:p>
    <w:p>
      <w:pPr>
        <w:pStyle w:val="Heading1"/>
      </w:pPr>
      <w:r>
        <w:rPr>
          <w:b w:val="0"/>
          <w:i w:val="0"/>
        </w:rPr>
        <w:t>13. Performance</w:t>
      </w:r>
    </w:p>
    <w:p>
      <w:pPr/>
      <w:r>
        <w:rPr>
          <w:b w:val="0"/>
          <w:i w:val="0"/>
        </w:rPr>
        <w:t>Les gains démontrés concernent la robustesse sous charge et en réseau dégradé :</w:t>
      </w:r>
    </w:p>
    <w:p>
      <w:pPr>
        <w:pStyle w:val="ListBullet"/>
      </w:pPr>
      <w:r>
        <w:rPr>
          <w:b w:val="0"/>
          <w:i w:val="0"/>
        </w:rPr>
        <w:t>limite de taille avant allocation ;</w:t>
      </w:r>
    </w:p>
    <w:p>
      <w:pPr>
        <w:pStyle w:val="ListBullet"/>
      </w:pPr>
      <w:r>
        <w:rPr>
          <w:b w:val="0"/>
          <w:i w:val="0"/>
        </w:rPr>
        <w:t>délai JSON couvrant corps et retries ;</w:t>
      </w:r>
    </w:p>
    <w:p>
      <w:pPr>
        <w:pStyle w:val="ListBullet"/>
      </w:pPr>
      <w:r>
        <w:rPr>
          <w:b w:val="0"/>
          <w:i w:val="0"/>
        </w:rPr>
        <w:t>budget global de résolution de 30 secondes ;</w:t>
      </w:r>
    </w:p>
    <w:p>
      <w:pPr>
        <w:pStyle w:val="ListBullet"/>
      </w:pPr>
      <w:r>
        <w:rPr>
          <w:b w:val="0"/>
          <w:i w:val="0"/>
        </w:rPr>
        <w:t>attentes annulables ;</w:t>
      </w:r>
    </w:p>
    <w:p>
      <w:pPr>
        <w:pStyle w:val="ListBullet"/>
      </w:pPr>
      <w:r>
        <w:rPr>
          <w:b w:val="0"/>
          <w:i w:val="0"/>
        </w:rPr>
        <w:t>récupération et annulation du worker.</w:t>
      </w:r>
    </w:p>
    <w:p>
      <w:pPr/>
      <w:r>
        <w:rPr>
          <w:b w:val="0"/>
          <w:i w:val="0"/>
        </w:rPr>
        <w:t>Le budget bundle passe dans la CI actuelle.</w:t>
      </w:r>
    </w:p>
    <w:p>
      <w:pPr/>
      <w:r>
        <w:rPr>
          <w:b/>
          <w:i w:val="0"/>
        </w:rPr>
        <w:t>Aucun gain chiffré de vitesse perçue n’est revendiqué.</w:t>
      </w:r>
      <w:r>
        <w:rPr>
          <w:b w:val="0"/>
          <w:i w:val="0"/>
        </w:rPr>
        <w:t xml:space="preserve"> LCP, INP, CLS et TTFB représentatifs restent non mesurés. La hausse de 6 à 7 récompense la maîtrise des ressources, pas des Core Web Vitals supposés.</w:t>
      </w:r>
    </w:p>
    <w:p>
      <w:pPr>
        <w:pStyle w:val="Heading1"/>
      </w:pPr>
      <w:r>
        <w:rPr>
          <w:b w:val="0"/>
          <w:i w:val="0"/>
        </w:rPr>
        <w:t>14. Sécurité</w:t>
      </w:r>
    </w:p>
    <w:p>
      <w:pPr/>
      <w:r>
        <w:rPr>
          <w:b w:val="0"/>
          <w:i w:val="0"/>
        </w:rPr>
        <w:t xml:space="preserve">Les headers publics contrôlés conservent notamment CSP, HSTS, </w:t>
      </w:r>
      <w:r>
        <w:rPr>
          <w:rFonts w:ascii="Calibri" w:hAnsi="Calibri"/>
          <w:b w:val="0"/>
          <w:i w:val="0"/>
          <w:sz w:val="18"/>
        </w:rPr>
        <w:t>nosniff</w:t>
      </w:r>
      <w:r>
        <w:rPr>
          <w:b w:val="0"/>
          <w:i w:val="0"/>
        </w:rPr>
        <w:t xml:space="preserve"> et protection contre l’intégration en iframe.</w:t>
      </w:r>
    </w:p>
    <w:p>
      <w:pPr/>
      <w:r>
        <w:rPr>
          <w:b w:val="0"/>
          <w:i w:val="0"/>
        </w:rPr>
        <w:t>La CI du HEAD actuel rapporte zéro vulnérabilité détectée lors de son audit de dépendances. Le diff du lockfile concerne les contraintes de runtime, sans changement de versions installées dans ce diff.</w:t>
      </w:r>
    </w:p>
    <w:p>
      <w:pPr/>
      <w:r>
        <w:rPr>
          <w:b w:val="0"/>
          <w:i w:val="0"/>
        </w:rPr>
        <w:t>Les entrées et imports sont nettement mieux protégés. Aucun P0 ni nouvelle vulnérabilité exploitable n’a été démontré.</w:t>
      </w:r>
    </w:p>
    <w:p>
      <w:pPr/>
      <w:r>
        <w:rPr>
          <w:b w:val="0"/>
          <w:i w:val="0"/>
        </w:rPr>
        <w:t xml:space="preserve">La note reste </w:t>
      </w:r>
      <w:r>
        <w:rPr>
          <w:b/>
          <w:i w:val="0"/>
        </w:rPr>
        <w:t>8/10</w:t>
      </w:r>
      <w:r>
        <w:rPr>
          <w:b w:val="0"/>
          <w:i w:val="0"/>
        </w:rPr>
        <w:t>, sans extrapoler ces contrôles à un audit complet des secrets, des permissions ou des configurations privées.</w:t>
      </w:r>
    </w:p>
    <w:p>
      <w:pPr>
        <w:pStyle w:val="Heading1"/>
      </w:pPr>
      <w:r>
        <w:rPr>
          <w:b w:val="0"/>
          <w:i w:val="0"/>
        </w:rPr>
        <w:t>15. SEO</w:t>
      </w:r>
    </w:p>
    <w:p>
      <w:pPr/>
      <w:r>
        <w:rPr>
          <w:b/>
          <w:i w:val="0"/>
        </w:rPr>
        <w:t>Le correctif local est réel. Le résultat public attendu ne l’est pas encore.</w:t>
      </w:r>
    </w:p>
    <w:p>
      <w:pPr/>
      <w:r>
        <w:rPr>
          <w:b w:val="0"/>
          <w:i w:val="0"/>
        </w:rPr>
        <w:t xml:space="preserve">Le manifeste S002 correspond aux </w:t>
      </w:r>
      <w:r>
        <w:rPr>
          <w:b/>
          <w:i w:val="0"/>
        </w:rPr>
        <w:t>154 fichiers de l’artefact conservé</w:t>
      </w:r>
      <w:r>
        <w:rPr>
          <w:b w:val="0"/>
          <w:i w:val="0"/>
        </w:rPr>
        <w:t>. Le vérificateur HTML relancé valide :</w:t>
      </w:r>
    </w:p>
    <w:p>
      <w:pPr>
        <w:pStyle w:val="ListBullet"/>
      </w:pPr>
      <w:r>
        <w:rPr>
          <w:b w:val="0"/>
          <w:i w:val="0"/>
        </w:rPr>
        <w:t>101 routes publiques ;</w:t>
      </w:r>
    </w:p>
    <w:p>
      <w:pPr>
        <w:pStyle w:val="ListBullet"/>
      </w:pPr>
      <w:r>
        <w:rPr>
          <w:b w:val="0"/>
          <w:i w:val="0"/>
        </w:rPr>
        <w:t>contenu et métadonnées propres aux routes ;</w:t>
      </w:r>
    </w:p>
    <w:p>
      <w:pPr>
        <w:pStyle w:val="ListBullet"/>
      </w:pPr>
      <w:r>
        <w:rPr>
          <w:b w:val="0"/>
          <w:i w:val="0"/>
        </w:rPr>
        <w:t>assets locaux ;</w:t>
      </w:r>
    </w:p>
    <w:p>
      <w:pPr>
        <w:pStyle w:val="ListBullet"/>
      </w:pPr>
      <w:r>
        <w:rPr>
          <w:b w:val="0"/>
          <w:i w:val="0"/>
        </w:rPr>
        <w:t xml:space="preserve">page 404 avec </w:t>
      </w:r>
      <w:r>
        <w:rPr>
          <w:rFonts w:ascii="Calibri" w:hAnsi="Calibri"/>
          <w:b w:val="0"/>
          <w:i w:val="0"/>
          <w:sz w:val="18"/>
        </w:rPr>
        <w:t>noindex</w:t>
      </w:r>
      <w:r>
        <w:rPr>
          <w:b w:val="0"/>
          <w:i w:val="0"/>
        </w:rPr>
        <w:t>.</w:t>
      </w:r>
    </w:p>
    <w:p>
      <w:pPr/>
      <w:r>
        <w:rPr>
          <w:b w:val="0"/>
          <w:i w:val="0"/>
        </w:rPr>
        <w:t>En revanche, les GET actuels sur accueil, analyseur, confidentialité, article et URL inexistante renvoient tous :</w:t>
      </w:r>
    </w:p>
    <w:p>
      <w:pPr>
        <w:pStyle w:val="ListBullet"/>
      </w:pPr>
      <w:r>
        <w:rPr>
          <w:b/>
          <w:i w:val="0"/>
        </w:rPr>
        <w:t>HTTP 200</w:t>
      </w:r>
      <w:r>
        <w:rPr>
          <w:b w:val="0"/>
          <w:i w:val="0"/>
        </w:rPr>
        <w:t xml:space="preserve"> ;</w:t>
      </w:r>
    </w:p>
    <w:p>
      <w:pPr>
        <w:pStyle w:val="ListBullet"/>
      </w:pPr>
      <w:r>
        <w:rPr>
          <w:b/>
          <w:i w:val="0"/>
        </w:rPr>
        <w:t>12 452 octets</w:t>
      </w:r>
      <w:r>
        <w:rPr>
          <w:b w:val="0"/>
          <w:i w:val="0"/>
        </w:rPr>
        <w:t xml:space="preserve"> ;</w:t>
      </w:r>
    </w:p>
    <w:p>
      <w:pPr>
        <w:pStyle w:val="ListBullet"/>
      </w:pPr>
      <w:r>
        <w:rPr>
          <w:b w:val="0"/>
          <w:i w:val="0"/>
        </w:rPr>
        <w:t>le même SHA-256 ;</w:t>
      </w:r>
    </w:p>
    <w:p>
      <w:pPr>
        <w:pStyle w:val="ListBullet"/>
      </w:pPr>
      <w:r>
        <w:rPr>
          <w:b w:val="0"/>
          <w:i w:val="0"/>
        </w:rPr>
        <w:t>le même titre et la canonical de l’accueil ;</w:t>
      </w:r>
    </w:p>
    <w:p>
      <w:pPr>
        <w:pStyle w:val="ListBullet"/>
      </w:pPr>
      <w:r>
        <w:rPr>
          <w:b/>
          <w:i w:val="0"/>
        </w:rPr>
        <w:t>aucun h1 initial</w:t>
      </w:r>
      <w:r>
        <w:rPr>
          <w:b w:val="0"/>
          <w:i w:val="0"/>
        </w:rPr>
        <w:t>.</w:t>
      </w:r>
    </w:p>
    <w:p>
      <w:pPr/>
      <w:r>
        <w:rPr>
          <w:b w:val="0"/>
          <w:i w:val="0"/>
        </w:rPr>
        <w:t xml:space="preserve">Ces résultats sont conservés dans la </w:t>
      </w:r>
      <w:hyperlink r:id="rId21">
        <w:r>
          <w:rPr>
            <w:color w:val="175575"/>
          </w:rPr>
          <w:t>trace HTTP</w:t>
        </w:r>
      </w:hyperlink>
      <w:r>
        <w:rPr>
          <w:b w:val="0"/>
          <w:i w:val="0"/>
        </w:rPr>
        <w:t>.</w:t>
      </w:r>
    </w:p>
    <w:p>
      <w:pPr/>
      <w:r>
        <w:rPr>
          <w:b w:val="0"/>
          <w:i w:val="0"/>
        </w:rPr>
        <w:t xml:space="preserve">Search Console, indexation effective et aperçus sociaux restent non vérifiés. </w:t>
      </w:r>
      <w:r>
        <w:rPr>
          <w:b/>
          <w:i w:val="0"/>
        </w:rPr>
        <w:t>La note SEO reste donc 4/10.</w:t>
      </w:r>
    </w:p>
    <w:p>
      <w:pPr>
        <w:pStyle w:val="Heading1"/>
      </w:pPr>
      <w:r>
        <w:rPr>
          <w:b w:val="0"/>
          <w:i w:val="0"/>
        </w:rPr>
        <w:t>16. API / Réseau</w:t>
      </w:r>
    </w:p>
    <w:p>
      <w:pPr/>
      <w:r>
        <w:rPr>
          <w:b w:val="0"/>
          <w:i w:val="0"/>
        </w:rPr>
        <w:t>Le signal atteint désormais les collections, résolutions individuelles et métadonnées de terrains. Le timeout couvre la consommation du JSON ; l’attente Retry-After est annulable.</w:t>
      </w:r>
    </w:p>
    <w:p>
      <w:pPr/>
      <w:r>
        <w:rPr>
          <w:b w:val="0"/>
          <w:i w:val="0"/>
        </w:rPr>
        <w:t>Les tests ciblés distinguent abort, timeout, erreurs permanentes et erreurs transitoires. Clear a également été confirmé dans le navigateur avec une requête retardée.</w:t>
      </w:r>
    </w:p>
    <w:p>
      <w:pPr/>
      <w:r>
        <w:rPr>
          <w:b w:val="0"/>
          <w:i w:val="0"/>
        </w:rPr>
        <w:t>Restent des limites historiques : caches distincts, absence de cadence unique pour tous les consommateurs et validation runtime des métadonnées encore incomplète. Aucun incident supplémentaire n’a été établi sur ces points pendant cette revue.</w:t>
      </w:r>
    </w:p>
    <w:p>
      <w:pPr>
        <w:pStyle w:val="Heading1"/>
      </w:pPr>
      <w:r>
        <w:rPr>
          <w:b w:val="0"/>
          <w:i w:val="0"/>
        </w:rPr>
        <w:t>17. Données MTG / Scryfall</w:t>
      </w:r>
    </w:p>
    <w:p>
      <w:pPr/>
      <w:r>
        <w:rPr>
          <w:b w:val="0"/>
          <w:i w:val="0"/>
        </w:rPr>
        <w:t xml:space="preserve">Les corrections améliorent surtout </w:t>
      </w:r>
      <w:r>
        <w:rPr>
          <w:b/>
          <w:i w:val="0"/>
        </w:rPr>
        <w:t>la population et la signification des résultats</w:t>
      </w:r>
      <w:r>
        <w:rPr>
          <w:b w:val="0"/>
          <w:i w:val="0"/>
        </w:rPr>
        <w:t xml:space="preserve"> :</w:t>
      </w:r>
    </w:p>
    <w:p>
      <w:pPr>
        <w:pStyle w:val="ListBullet"/>
      </w:pPr>
      <w:r>
        <w:rPr>
          <w:b w:val="0"/>
          <w:i w:val="0"/>
        </w:rPr>
        <w:t>Maybeboard et Companion exclus et signalés ;</w:t>
      </w:r>
    </w:p>
    <w:p>
      <w:pPr>
        <w:pStyle w:val="ListBullet"/>
      </w:pPr>
      <w:r>
        <w:rPr>
          <w:b w:val="0"/>
          <w:i w:val="0"/>
        </w:rPr>
        <w:t>préfixe SB limité à sa ligne ;</w:t>
      </w:r>
    </w:p>
    <w:p>
      <w:pPr>
        <w:pStyle w:val="ListBullet"/>
      </w:pPr>
      <w:r>
        <w:rPr>
          <w:b w:val="0"/>
          <w:i w:val="0"/>
        </w:rPr>
        <w:t>command zone explicitement séparée ;</w:t>
      </w:r>
    </w:p>
    <w:p>
      <w:pPr>
        <w:pStyle w:val="ListBullet"/>
      </w:pPr>
      <w:r>
        <w:rPr>
          <w:b w:val="0"/>
          <w:i w:val="0"/>
        </w:rPr>
        <w:t>cibles du principal indépendantes du sideboard ;</w:t>
      </w:r>
    </w:p>
    <w:p>
      <w:pPr>
        <w:pStyle w:val="ListBullet"/>
      </w:pPr>
      <w:r>
        <w:rPr>
          <w:b w:val="0"/>
          <w:i w:val="0"/>
        </w:rPr>
        <w:t>hybrides traités comme alternatives ;</w:t>
      </w:r>
    </w:p>
    <w:p>
      <w:pPr>
        <w:pStyle w:val="ListBullet"/>
      </w:pPr>
      <w:r>
        <w:rPr>
          <w:b w:val="0"/>
          <w:i w:val="0"/>
        </w:rPr>
        <w:t>paiements non représentés affichés indisponibles.</w:t>
      </w:r>
    </w:p>
    <w:p>
      <w:pPr/>
      <w:r>
        <w:rPr>
          <w:b w:val="0"/>
          <w:i w:val="0"/>
        </w:rPr>
        <w:t>Les moteurs centraux de castability, de politique de paiement et de mulligan, ainsi que le seed terrains, ne présentent pas de diff dans les chemins contrôlés. Leurs preuves historiques restent utilisables pour leurs contrats internes inchangés ; les nouvelles intégrations et synthèses ont été vérifiées séparément.</w:t>
      </w:r>
    </w:p>
    <w:p>
      <w:pPr/>
      <w:r>
        <w:rPr>
          <w:b w:val="0"/>
          <w:i w:val="0"/>
        </w:rPr>
        <w:t>La couverture exhaustive des cartes spéciales et la légalité des decks ne sont toujours pas certifiées.</w:t>
      </w:r>
    </w:p>
    <w:p>
      <w:pPr>
        <w:pStyle w:val="Heading1"/>
      </w:pPr>
      <w:r>
        <w:rPr>
          <w:b w:val="0"/>
          <w:i w:val="0"/>
        </w:rPr>
        <w:t>18. Qualité du code</w:t>
      </w:r>
    </w:p>
    <w:p>
      <w:pPr/>
      <w:r>
        <w:rPr>
          <w:b w:val="0"/>
          <w:i w:val="0"/>
        </w:rPr>
        <w:t>Les frontières critiques sont mieux définies : parseur canonique, propriétaire d’analyse, helper réseau et schéma de lecture des sauvegardes.</w:t>
      </w:r>
    </w:p>
    <w:p>
      <w:pPr/>
      <w:r>
        <w:rPr>
          <w:b w:val="0"/>
          <w:i w:val="0"/>
        </w:rPr>
        <w:t>TypeScript et ESLint passent sur le code actuel.</w:t>
      </w:r>
    </w:p>
    <w:p>
      <w:pPr/>
      <w:r>
        <w:rPr>
          <w:b w:val="0"/>
          <w:i w:val="0"/>
        </w:rPr>
        <w:t>La dette restante concerne surtout les gros composants, les représentations historiques, les caches multiples et certaines valeurs permissives. Le cas Blueprint montre qu’une fonction de présentation partagée ne garantit pas une sémantique métier partagée.</w:t>
      </w:r>
    </w:p>
    <w:p>
      <w:pPr>
        <w:pStyle w:val="Heading1"/>
      </w:pPr>
      <w:r>
        <w:rPr>
          <w:b w:val="0"/>
          <w:i w:val="0"/>
        </w:rPr>
        <w:t>19. Tests / robustesse</w:t>
      </w:r>
    </w:p>
    <w:p>
      <w:pPr/>
      <w:r>
        <w:rPr>
          <w:b/>
          <w:i w:val="0"/>
        </w:rPr>
        <w:t>Exécutés pendant cet audit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709"/>
      </w:tblGrid>
      <w:tr>
        <w:trPr>
          <w:cantSplit/>
          <w:tblHeader/>
        </w:trPr>
        <w:tc>
          <w:tcPr>
            <w:tcW w:type="dxa" w:w="5328"/>
            <w:vAlign w:val="center"/>
            <w:tcMar>
              <w:top w:w="80" w:type="dxa"/>
              <w:bottom w:w="80" w:type="dxa"/>
              <w:left w:w="90" w:type="dxa"/>
              <w:right w:w="90" w:type="dxa"/>
            </w:tcMar>
            <w:shd w:fill="DCE6EB"/>
          </w:tcPr>
          <w:p>
            <w:pPr>
              <w:spacing w:after="0" w:line="247" w:lineRule="auto"/>
            </w:pPr>
            <w:r>
              <w:rPr>
                <w:b/>
                <w:i w:val="0"/>
                <w:sz w:val="18"/>
              </w:rPr>
              <w:t>Validation</w:t>
            </w:r>
          </w:p>
        </w:tc>
        <w:tc>
          <w:tcPr>
            <w:tcW w:type="dxa" w:w="4709"/>
            <w:vAlign w:val="center"/>
            <w:tcMar>
              <w:top w:w="80" w:type="dxa"/>
              <w:bottom w:w="80" w:type="dxa"/>
              <w:left w:w="90" w:type="dxa"/>
              <w:right w:w="90" w:type="dxa"/>
            </w:tcMar>
            <w:shd w:fill="DCE6EB"/>
          </w:tcPr>
          <w:p>
            <w:pPr>
              <w:spacing w:after="0" w:line="247" w:lineRule="auto"/>
            </w:pPr>
            <w:r>
              <w:rPr>
                <w:b/>
                <w:i w:val="0"/>
                <w:sz w:val="18"/>
              </w:rPr>
              <w:t>Résultat</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TypeScript, sans émission</w:t>
            </w:r>
          </w:p>
        </w:tc>
        <w:tc>
          <w:tcPr>
            <w:tcW w:type="dxa" w:w="4709"/>
            <w:vAlign w:val="center"/>
            <w:tcMar>
              <w:top w:w="80" w:type="dxa"/>
              <w:bottom w:w="80" w:type="dxa"/>
              <w:left w:w="90" w:type="dxa"/>
              <w:right w:w="90" w:type="dxa"/>
            </w:tcMar>
            <w:shd w:fill="FFFFFF"/>
          </w:tcPr>
          <w:p>
            <w:pPr>
              <w:spacing w:after="0" w:line="247" w:lineRule="auto"/>
            </w:pPr>
            <w:r>
              <w:rPr>
                <w:b w:val="0"/>
                <w:i w:val="0"/>
                <w:sz w:val="18"/>
              </w:rPr>
              <w:t>Réussi</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ESLint, sans cache ni correction</w:t>
            </w:r>
          </w:p>
        </w:tc>
        <w:tc>
          <w:tcPr>
            <w:tcW w:type="dxa" w:w="4709"/>
            <w:vAlign w:val="center"/>
            <w:tcMar>
              <w:top w:w="80" w:type="dxa"/>
              <w:bottom w:w="80" w:type="dxa"/>
              <w:left w:w="90" w:type="dxa"/>
              <w:right w:w="90" w:type="dxa"/>
            </w:tcMar>
            <w:shd w:fill="F4F6F7"/>
          </w:tcPr>
          <w:p>
            <w:pPr>
              <w:spacing w:after="0" w:line="247" w:lineRule="auto"/>
            </w:pPr>
            <w:r>
              <w:rPr>
                <w:b w:val="0"/>
                <w:i w:val="0"/>
                <w:sz w:val="18"/>
              </w:rPr>
              <w:t>Réussi</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Unitaires/intégrations sélectionnés</w:t>
            </w:r>
          </w:p>
        </w:tc>
        <w:tc>
          <w:tcPr>
            <w:tcW w:type="dxa" w:w="4709"/>
            <w:vAlign w:val="center"/>
            <w:tcMar>
              <w:top w:w="80" w:type="dxa"/>
              <w:bottom w:w="80" w:type="dxa"/>
              <w:left w:w="90" w:type="dxa"/>
              <w:right w:w="90" w:type="dxa"/>
            </w:tcMar>
            <w:shd w:fill="FFFFFF"/>
          </w:tcPr>
          <w:p>
            <w:pPr>
              <w:spacing w:after="0" w:line="247" w:lineRule="auto"/>
            </w:pPr>
            <w:r>
              <w:rPr>
                <w:b/>
                <w:i w:val="0"/>
                <w:sz w:val="18"/>
              </w:rPr>
              <w:t>128/128, 13 fichiers</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E2E sélectionnés, Chromium</w:t>
            </w:r>
          </w:p>
        </w:tc>
        <w:tc>
          <w:tcPr>
            <w:tcW w:type="dxa" w:w="4709"/>
            <w:vAlign w:val="center"/>
            <w:tcMar>
              <w:top w:w="80" w:type="dxa"/>
              <w:bottom w:w="80" w:type="dxa"/>
              <w:left w:w="90" w:type="dxa"/>
              <w:right w:w="90" w:type="dxa"/>
            </w:tcMar>
            <w:shd w:fill="F4F6F7"/>
          </w:tcPr>
          <w:p>
            <w:pPr>
              <w:spacing w:after="0" w:line="247" w:lineRule="auto"/>
            </w:pPr>
            <w:r>
              <w:rPr>
                <w:b/>
                <w:i w:val="0"/>
                <w:sz w:val="18"/>
              </w:rPr>
              <w:t>7/7</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Contrat HTML de l’artefact conservé</w:t>
            </w:r>
          </w:p>
        </w:tc>
        <w:tc>
          <w:tcPr>
            <w:tcW w:type="dxa" w:w="4709"/>
            <w:vAlign w:val="center"/>
            <w:tcMar>
              <w:top w:w="80" w:type="dxa"/>
              <w:bottom w:w="80" w:type="dxa"/>
              <w:left w:w="90" w:type="dxa"/>
              <w:right w:w="90" w:type="dxa"/>
            </w:tcMar>
            <w:shd w:fill="FFFFFF"/>
          </w:tcPr>
          <w:p>
            <w:pPr>
              <w:spacing w:after="0" w:line="247" w:lineRule="auto"/>
            </w:pPr>
            <w:r>
              <w:rPr>
                <w:b/>
                <w:i w:val="0"/>
                <w:sz w:val="18"/>
              </w:rPr>
              <w:t>101 routes validées</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Reproductions indépendantes parsing/import/deltas</w:t>
            </w:r>
          </w:p>
        </w:tc>
        <w:tc>
          <w:tcPr>
            <w:tcW w:type="dxa" w:w="4709"/>
            <w:vAlign w:val="center"/>
            <w:tcMar>
              <w:top w:w="80" w:type="dxa"/>
              <w:bottom w:w="80" w:type="dxa"/>
              <w:left w:w="90" w:type="dxa"/>
              <w:right w:w="90" w:type="dxa"/>
            </w:tcMar>
            <w:shd w:fill="F4F6F7"/>
          </w:tcPr>
          <w:p>
            <w:pPr>
              <w:spacing w:after="0" w:line="247" w:lineRule="auto"/>
            </w:pPr>
            <w:r>
              <w:rPr>
                <w:b w:val="0"/>
                <w:i w:val="0"/>
                <w:sz w:val="18"/>
              </w:rPr>
              <w:t>Résultats conformes aux corrections</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Contrôle Blueprint et export PNG</w:t>
            </w:r>
          </w:p>
        </w:tc>
        <w:tc>
          <w:tcPr>
            <w:tcW w:type="dxa" w:w="4709"/>
            <w:vAlign w:val="center"/>
            <w:tcMar>
              <w:top w:w="80" w:type="dxa"/>
              <w:bottom w:w="80" w:type="dxa"/>
              <w:left w:w="90" w:type="dxa"/>
              <w:right w:w="90" w:type="dxa"/>
            </w:tcMar>
            <w:shd w:fill="FFFFFF"/>
          </w:tcPr>
          <w:p>
            <w:pPr>
              <w:spacing w:after="0" w:line="247" w:lineRule="auto"/>
            </w:pPr>
            <w:r>
              <w:rPr>
                <w:b w:val="0"/>
                <w:i w:val="0"/>
                <w:sz w:val="18"/>
              </w:rPr>
              <w:t>Deux défauts documentés</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GET publics</w:t>
            </w:r>
          </w:p>
        </w:tc>
        <w:tc>
          <w:tcPr>
            <w:tcW w:type="dxa" w:w="4709"/>
            <w:vAlign w:val="center"/>
            <w:tcMar>
              <w:top w:w="80" w:type="dxa"/>
              <w:bottom w:w="80" w:type="dxa"/>
              <w:left w:w="90" w:type="dxa"/>
              <w:right w:w="90" w:type="dxa"/>
            </w:tcMar>
            <w:shd w:fill="F4F6F7"/>
          </w:tcPr>
          <w:p>
            <w:pPr>
              <w:spacing w:after="0" w:line="247" w:lineRule="auto"/>
            </w:pPr>
            <w:r>
              <w:rPr>
                <w:b w:val="0"/>
                <w:i w:val="0"/>
                <w:sz w:val="18"/>
              </w:rPr>
              <w:t>F09 toujours observable</w:t>
            </w:r>
          </w:p>
        </w:tc>
      </w:tr>
    </w:tbl>
    <w:p>
      <w:pPr>
        <w:spacing w:after="40"/>
      </w:pPr>
    </w:p>
    <w:p>
      <w:pPr/>
      <w:r>
        <w:rPr>
          <w:b w:val="0"/>
          <w:i w:val="0"/>
        </w:rPr>
        <w:t xml:space="preserve">Les résultats sont disponibles dans les </w:t>
      </w:r>
      <w:hyperlink r:id="rId22">
        <w:r>
          <w:rPr>
            <w:color w:val="175575"/>
          </w:rPr>
          <w:t>tests ciblés</w:t>
        </w:r>
      </w:hyperlink>
      <w:r>
        <w:rPr>
          <w:b w:val="0"/>
          <w:i w:val="0"/>
        </w:rPr>
        <w:t xml:space="preserve">, les </w:t>
      </w:r>
      <w:hyperlink r:id="rId23">
        <w:r>
          <w:rPr>
            <w:color w:val="175575"/>
          </w:rPr>
          <w:t>E2E</w:t>
        </w:r>
      </w:hyperlink>
      <w:r>
        <w:rPr>
          <w:b w:val="0"/>
          <w:i w:val="0"/>
        </w:rPr>
        <w:t xml:space="preserve">, le </w:t>
      </w:r>
      <w:hyperlink r:id="rId24">
        <w:r>
          <w:rPr>
            <w:color w:val="175575"/>
          </w:rPr>
          <w:t>clavier</w:t>
        </w:r>
      </w:hyperlink>
      <w:r>
        <w:rPr>
          <w:b w:val="0"/>
          <w:i w:val="0"/>
        </w:rPr>
        <w:t xml:space="preserve">, les </w:t>
      </w:r>
      <w:hyperlink r:id="rId25">
        <w:r>
          <w:rPr>
            <w:color w:val="175575"/>
          </w:rPr>
          <w:t>reproductions indépendantes</w:t>
        </w:r>
      </w:hyperlink>
      <w:r>
        <w:rPr>
          <w:b w:val="0"/>
          <w:i w:val="0"/>
        </w:rPr>
        <w:t xml:space="preserve"> et les </w:t>
      </w:r>
      <w:hyperlink r:id="rId26">
        <w:r>
          <w:rPr>
            <w:color w:val="175575"/>
          </w:rPr>
          <w:t>exports</w:t>
        </w:r>
      </w:hyperlink>
      <w:r>
        <w:rPr>
          <w:b w:val="0"/>
          <w:i w:val="0"/>
        </w:rPr>
        <w:t>.</w:t>
      </w:r>
    </w:p>
    <w:p>
      <w:pPr/>
      <w:r>
        <w:rPr>
          <w:b/>
          <w:i w:val="0"/>
        </w:rPr>
        <w:t>Preuves existantes consultées, sans relance :</w:t>
      </w:r>
      <w:r>
        <w:rPr>
          <w:b w:val="0"/>
          <w:i w:val="0"/>
        </w:rPr>
        <w:t xml:space="preserve"> la </w:t>
      </w:r>
      <w:hyperlink r:id="rId27">
        <w:r>
          <w:rPr>
            <w:color w:val="175575"/>
          </w:rPr>
          <w:t>CI du HEAD actuel</w:t>
        </w:r>
      </w:hyperlink>
      <w:r>
        <w:rPr>
          <w:b w:val="0"/>
          <w:i w:val="0"/>
        </w:rPr>
        <w:t xml:space="preserve"> rapporte 796 tests dans 78 fichiers, 101 prérendus réussis et 16 tests Chromium réussis.</w:t>
      </w:r>
    </w:p>
    <w:p>
      <w:pPr/>
      <w:r>
        <w:rPr>
          <w:b w:val="0"/>
          <w:i w:val="0"/>
        </w:rPr>
        <w:t>Les preuves S002 n’ont pas été acceptées sur déclaration : les 50 fichiers référencés dans son manifeste correspondent aux fichiers actuels. Les preuves S001 relatives aux six fichiers modifiés ensuite n’ont pas été considérées automatiquement actuelles.</w:t>
      </w:r>
    </w:p>
    <w:p>
      <w:pPr/>
      <w:r>
        <w:rPr>
          <w:b/>
          <w:i w:val="0"/>
        </w:rPr>
        <w:t>Angle mort démontré :</w:t>
      </w:r>
      <w:r>
        <w:rPr>
          <w:b w:val="0"/>
          <w:i w:val="0"/>
        </w:rPr>
        <w:t xml:space="preserve"> le test d’export vérifie la pagination et utilise un deck très simple. Il ne vérifie pas que toutes les lignes d’un deck long figurent dans l’image. Son égalité entre indice Blueprint et consistency passe sur une fixture où l’arrondi masque la différence des formules.</w:t>
      </w:r>
    </w:p>
    <w:p>
      <w:pPr>
        <w:pStyle w:val="Heading1"/>
      </w:pPr>
      <w:r>
        <w:rPr>
          <w:b w:val="0"/>
          <w:i w:val="0"/>
        </w:rPr>
        <w:t>20. Régressions</w:t>
      </w:r>
    </w:p>
    <w:p>
      <w:pPr/>
      <w:r>
        <w:rPr>
          <w:b/>
          <w:i w:val="0"/>
        </w:rPr>
        <w:t>Une nouvelle régression confirmée : N01</w:t>
      </w:r>
      <w:r>
        <w:rPr>
          <w:b w:val="0"/>
          <w:i w:val="0"/>
        </w:rPr>
        <w:t>, le libellé du Blueprint introduit par l’harmonisation éditoriale.</w:t>
      </w:r>
    </w:p>
    <w:p>
      <w:pPr/>
      <w:r>
        <w:rPr>
          <w:b/>
          <w:i w:val="0"/>
        </w:rPr>
        <w:t>N02 n’est pas une régression nouvelle :</w:t>
      </w:r>
      <w:r>
        <w:rPr>
          <w:b w:val="0"/>
          <w:i w:val="0"/>
        </w:rPr>
        <w:t xml:space="preserve"> les contraintes de défilement existaient déjà dans la baseline. C’est un défaut supplémentaire découvert pendant la vérification des exports corrigés.</w:t>
      </w:r>
    </w:p>
    <w:p>
      <w:pPr/>
      <w:r>
        <w:rPr>
          <w:b w:val="0"/>
          <w:i w:val="0"/>
        </w:rPr>
        <w:t>Aucune nouvelle régression bloquante de parsing, de génération asynchrone, de clavier ou de types n’a été démontrée dans les validations sélectionnées.</w:t>
      </w:r>
    </w:p>
    <w:p>
      <w:pPr/>
      <w:r>
        <w:rPr>
          <w:b w:val="0"/>
          <w:i w:val="0"/>
        </w:rPr>
        <w:t>Cela ne constitue pas une preuve d’absence de toute régression hors de ce périmètre.</w:t>
      </w:r>
    </w:p>
    <w:p>
      <w:pPr>
        <w:pStyle w:val="Heading1"/>
      </w:pPr>
      <w:r>
        <w:rPr>
          <w:b w:val="0"/>
          <w:i w:val="0"/>
        </w:rPr>
        <w:t>21. Problèmes restant à traiter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709"/>
      </w:tblGrid>
      <w:tr>
        <w:trPr>
          <w:cantSplit/>
          <w:tblHeader/>
        </w:trPr>
        <w:tc>
          <w:tcPr>
            <w:tcW w:type="dxa" w:w="5328"/>
            <w:vAlign w:val="center"/>
            <w:tcMar>
              <w:top w:w="80" w:type="dxa"/>
              <w:bottom w:w="80" w:type="dxa"/>
              <w:left w:w="90" w:type="dxa"/>
              <w:right w:w="90" w:type="dxa"/>
            </w:tcMar>
            <w:shd w:fill="DCE6EB"/>
          </w:tcPr>
          <w:p>
            <w:pPr>
              <w:spacing w:after="0" w:line="247" w:lineRule="auto"/>
            </w:pPr>
            <w:r>
              <w:rPr>
                <w:b/>
                <w:i w:val="0"/>
                <w:sz w:val="18"/>
              </w:rPr>
              <w:t>Priorité</w:t>
            </w:r>
          </w:p>
        </w:tc>
        <w:tc>
          <w:tcPr>
            <w:tcW w:type="dxa" w:w="4709"/>
            <w:vAlign w:val="center"/>
            <w:tcMar>
              <w:top w:w="80" w:type="dxa"/>
              <w:bottom w:w="80" w:type="dxa"/>
              <w:left w:w="90" w:type="dxa"/>
              <w:right w:w="90" w:type="dxa"/>
            </w:tcMar>
            <w:shd w:fill="DCE6EB"/>
          </w:tcPr>
          <w:p>
            <w:pPr>
              <w:spacing w:after="0" w:line="247" w:lineRule="auto"/>
            </w:pPr>
            <w:r>
              <w:rPr>
                <w:b/>
                <w:i w:val="0"/>
                <w:sz w:val="18"/>
              </w:rPr>
              <w:t>Travail restant</w:t>
            </w:r>
          </w:p>
        </w:tc>
      </w:tr>
      <w:tr>
        <w:trPr>
          <w:cantSplit/>
        </w:trPr>
        <w:tc>
          <w:tcPr>
            <w:tcW w:type="dxa" w:w="5328"/>
            <w:vAlign w:val="center"/>
            <w:tcMar>
              <w:top w:w="80" w:type="dxa"/>
              <w:bottom w:w="80" w:type="dxa"/>
              <w:left w:w="90" w:type="dxa"/>
              <w:right w:w="90" w:type="dxa"/>
            </w:tcMar>
            <w:shd w:fill="FFFFFF"/>
          </w:tcPr>
          <w:p>
            <w:pPr>
              <w:spacing w:after="0" w:line="247" w:lineRule="auto"/>
            </w:pPr>
            <w:r>
              <w:rPr>
                <w:b/>
                <w:i w:val="0"/>
                <w:sz w:val="18"/>
              </w:rPr>
              <w:t>P0</w:t>
            </w:r>
          </w:p>
        </w:tc>
        <w:tc>
          <w:tcPr>
            <w:tcW w:type="dxa" w:w="4709"/>
            <w:vAlign w:val="center"/>
            <w:tcMar>
              <w:top w:w="80" w:type="dxa"/>
              <w:bottom w:w="80" w:type="dxa"/>
              <w:left w:w="90" w:type="dxa"/>
              <w:right w:w="90" w:type="dxa"/>
            </w:tcMar>
            <w:shd w:fill="FFFFFF"/>
          </w:tcPr>
          <w:p>
            <w:pPr>
              <w:spacing w:after="0" w:line="247" w:lineRule="auto"/>
            </w:pPr>
            <w:r>
              <w:rPr>
                <w:b w:val="0"/>
                <w:i w:val="0"/>
                <w:sz w:val="18"/>
              </w:rPr>
              <w:t>Aucun démontré</w:t>
            </w:r>
          </w:p>
        </w:tc>
      </w:tr>
      <w:tr>
        <w:trPr>
          <w:cantSplit/>
        </w:trPr>
        <w:tc>
          <w:tcPr>
            <w:tcW w:type="dxa" w:w="5328"/>
            <w:vAlign w:val="center"/>
            <w:tcMar>
              <w:top w:w="80" w:type="dxa"/>
              <w:bottom w:w="80" w:type="dxa"/>
              <w:left w:w="90" w:type="dxa"/>
              <w:right w:w="90" w:type="dxa"/>
            </w:tcMar>
            <w:shd w:fill="F4F6F7"/>
          </w:tcPr>
          <w:p>
            <w:pPr>
              <w:spacing w:after="0" w:line="247" w:lineRule="auto"/>
            </w:pPr>
            <w:r>
              <w:rPr>
                <w:b/>
                <w:i w:val="0"/>
                <w:sz w:val="18"/>
              </w:rPr>
              <w:t>P1</w:t>
            </w:r>
          </w:p>
        </w:tc>
        <w:tc>
          <w:tcPr>
            <w:tcW w:type="dxa" w:w="4709"/>
            <w:vAlign w:val="center"/>
            <w:tcMar>
              <w:top w:w="80" w:type="dxa"/>
              <w:bottom w:w="80" w:type="dxa"/>
              <w:left w:w="90" w:type="dxa"/>
              <w:right w:w="90" w:type="dxa"/>
            </w:tcMar>
            <w:shd w:fill="F4F6F7"/>
          </w:tcPr>
          <w:p>
            <w:pPr>
              <w:spacing w:after="0" w:line="247" w:lineRule="auto"/>
            </w:pPr>
            <w:r>
              <w:rPr>
                <w:b w:val="0"/>
                <w:i w:val="0"/>
                <w:sz w:val="18"/>
              </w:rPr>
              <w:t>Aucun des sept défauts historiques ne reste ouvert sur le candidat vérifié</w:t>
            </w:r>
          </w:p>
        </w:tc>
      </w:tr>
      <w:tr>
        <w:trPr>
          <w:cantSplit/>
        </w:trPr>
        <w:tc>
          <w:tcPr>
            <w:tcW w:type="dxa" w:w="5328"/>
            <w:vAlign w:val="center"/>
            <w:tcMar>
              <w:top w:w="80" w:type="dxa"/>
              <w:bottom w:w="80" w:type="dxa"/>
              <w:left w:w="90" w:type="dxa"/>
              <w:right w:w="90" w:type="dxa"/>
            </w:tcMar>
            <w:shd w:fill="FFFFFF"/>
          </w:tcPr>
          <w:p>
            <w:pPr>
              <w:spacing w:after="0" w:line="247" w:lineRule="auto"/>
            </w:pPr>
            <w:r>
              <w:rPr>
                <w:b/>
                <w:i w:val="0"/>
                <w:sz w:val="18"/>
              </w:rPr>
              <w:t>P2</w:t>
            </w:r>
          </w:p>
        </w:tc>
        <w:tc>
          <w:tcPr>
            <w:tcW w:type="dxa" w:w="4709"/>
            <w:vAlign w:val="center"/>
            <w:tcMar>
              <w:top w:w="80" w:type="dxa"/>
              <w:bottom w:w="80" w:type="dxa"/>
              <w:left w:w="90" w:type="dxa"/>
              <w:right w:w="90" w:type="dxa"/>
            </w:tcMar>
            <w:shd w:fill="FFFFFF"/>
          </w:tcPr>
          <w:p>
            <w:pPr>
              <w:spacing w:after="0" w:line="247" w:lineRule="auto"/>
            </w:pPr>
            <w:r>
              <w:rPr>
                <w:b w:val="0"/>
                <w:i w:val="0"/>
                <w:sz w:val="18"/>
              </w:rPr>
              <w:t>F09 : résultat SEO public ; F10/N01 : définition Blueprint ; N02 : export incomplet ; préparation opérationnelle et observabilité</w:t>
            </w:r>
          </w:p>
        </w:tc>
      </w:tr>
      <w:tr>
        <w:trPr>
          <w:cantSplit/>
        </w:trPr>
        <w:tc>
          <w:tcPr>
            <w:tcW w:type="dxa" w:w="5328"/>
            <w:vAlign w:val="center"/>
            <w:tcMar>
              <w:top w:w="80" w:type="dxa"/>
              <w:bottom w:w="80" w:type="dxa"/>
              <w:left w:w="90" w:type="dxa"/>
              <w:right w:w="90" w:type="dxa"/>
            </w:tcMar>
            <w:shd w:fill="F4F6F7"/>
          </w:tcPr>
          <w:p>
            <w:pPr>
              <w:spacing w:after="0" w:line="247" w:lineRule="auto"/>
            </w:pPr>
            <w:r>
              <w:rPr>
                <w:b/>
                <w:i w:val="0"/>
                <w:sz w:val="18"/>
              </w:rPr>
              <w:t>P3</w:t>
            </w:r>
          </w:p>
        </w:tc>
        <w:tc>
          <w:tcPr>
            <w:tcW w:type="dxa" w:w="4709"/>
            <w:vAlign w:val="center"/>
            <w:tcMar>
              <w:top w:w="80" w:type="dxa"/>
              <w:bottom w:w="80" w:type="dxa"/>
              <w:left w:w="90" w:type="dxa"/>
              <w:right w:w="90" w:type="dxa"/>
            </w:tcMar>
            <w:shd w:fill="F4F6F7"/>
          </w:tcPr>
          <w:p>
            <w:pPr>
              <w:spacing w:after="0" w:line="247" w:lineRule="auto"/>
            </w:pPr>
            <w:r>
              <w:rPr>
                <w:b w:val="0"/>
                <w:i w:val="0"/>
                <w:sz w:val="18"/>
              </w:rPr>
              <w:t>Cohérence complémentaire des aides, maintenance des gros composants et caches, contenu et liens externes</w:t>
            </w:r>
          </w:p>
        </w:tc>
      </w:tr>
    </w:tbl>
    <w:p>
      <w:pPr>
        <w:spacing w:after="40"/>
      </w:pPr>
    </w:p>
    <w:p>
      <w:pPr/>
      <w:r>
        <w:rPr>
          <w:b w:val="0"/>
          <w:i w:val="0"/>
        </w:rPr>
        <w:t>La validation de la publication, de l’accessibilité complète et des performances réelles reste nécessaire pour revendiquer un niveau excellent.</w:t>
      </w:r>
    </w:p>
    <w:p>
      <w:pPr>
        <w:pStyle w:val="Heading1"/>
      </w:pPr>
      <w:r>
        <w:rPr>
          <w:b w:val="0"/>
          <w:i w:val="0"/>
        </w:rPr>
        <w:t>22. Top des améliorations obtenues</w:t>
      </w:r>
    </w:p>
    <w:p>
      <w:pPr>
        <w:pStyle w:val="ListNumber"/>
      </w:pPr>
      <w:r>
        <w:rPr>
          <w:b/>
          <w:i w:val="0"/>
        </w:rPr>
        <w:t>Validation au vrai point d’entrée</w:t>
      </w:r>
      <w:r>
        <w:rPr>
          <w:b w:val="0"/>
          <w:i w:val="0"/>
        </w:rPr>
        <w:t xml:space="preserve"> : élimine faux succès et quantités dangereusement grandes.</w:t>
      </w:r>
    </w:p>
    <w:p>
      <w:pPr>
        <w:pStyle w:val="ListNumber"/>
      </w:pPr>
      <w:r>
        <w:rPr>
          <w:b/>
          <w:i w:val="0"/>
        </w:rPr>
        <w:t>Populations fiables</w:t>
      </w:r>
      <w:r>
        <w:rPr>
          <w:b w:val="0"/>
          <w:i w:val="0"/>
        </w:rPr>
        <w:t xml:space="preserve"> : protège les calculs contre les sections mal interprétées.</w:t>
      </w:r>
    </w:p>
    <w:p>
      <w:pPr>
        <w:pStyle w:val="ListNumber"/>
      </w:pPr>
      <w:r>
        <w:rPr>
          <w:b/>
          <w:i w:val="0"/>
        </w:rPr>
        <w:t>Hybrides et cibles du principal</w:t>
      </w:r>
      <w:r>
        <w:rPr>
          <w:b w:val="0"/>
          <w:i w:val="0"/>
        </w:rPr>
        <w:t xml:space="preserve"> : supprime des recommandations de couleurs injustifiées.</w:t>
      </w:r>
    </w:p>
    <w:p>
      <w:pPr>
        <w:pStyle w:val="ListNumber"/>
      </w:pPr>
      <w:r>
        <w:rPr>
          <w:b/>
          <w:i w:val="0"/>
        </w:rPr>
        <w:t>Clear durable</w:t>
      </w:r>
      <w:r>
        <w:rPr>
          <w:b w:val="0"/>
          <w:i w:val="0"/>
        </w:rPr>
        <w:t xml:space="preserve"> : rétablit la maîtrise des actions asynchrones.</w:t>
      </w:r>
    </w:p>
    <w:p>
      <w:pPr>
        <w:pStyle w:val="ListNumber"/>
      </w:pPr>
      <w:r>
        <w:rPr>
          <w:b/>
          <w:i w:val="0"/>
        </w:rPr>
        <w:t>Historique récupérable</w:t>
      </w:r>
      <w:r>
        <w:rPr>
          <w:b w:val="0"/>
          <w:i w:val="0"/>
        </w:rPr>
        <w:t xml:space="preserve"> : protège les sauvegardes contre import invalide et quota.</w:t>
      </w:r>
    </w:p>
    <w:p>
      <w:pPr>
        <w:pStyle w:val="ListNumber"/>
      </w:pPr>
      <w:r>
        <w:rPr>
          <w:b/>
          <w:i w:val="0"/>
        </w:rPr>
        <w:t>Réédition clavier</w:t>
      </w:r>
      <w:r>
        <w:rPr>
          <w:b w:val="0"/>
          <w:i w:val="0"/>
        </w:rPr>
        <w:t xml:space="preserve"> : débloque une action essentielle.</w:t>
      </w:r>
    </w:p>
    <w:p>
      <w:pPr>
        <w:pStyle w:val="ListNumber"/>
      </w:pPr>
      <w:r>
        <w:rPr>
          <w:b/>
          <w:i w:val="0"/>
        </w:rPr>
        <w:t>Livraison contrôlée</w:t>
      </w:r>
      <w:r>
        <w:rPr>
          <w:b w:val="0"/>
          <w:i w:val="0"/>
        </w:rPr>
        <w:t xml:space="preserve"> : relie build, prérendu et contrôles au même candidat.</w:t>
      </w:r>
    </w:p>
    <w:p>
      <w:pPr>
        <w:pStyle w:val="Heading1"/>
      </w:pPr>
      <w:r>
        <w:rPr>
          <w:b w:val="0"/>
          <w:i w:val="0"/>
        </w:rPr>
        <w:t>23. Travail restant</w:t>
      </w:r>
    </w:p>
    <w:p>
      <w:pPr/>
      <w:r>
        <w:rPr>
          <w:b w:val="0"/>
          <w:i w:val="0"/>
        </w:rPr>
        <w:t>Les anciennes améliorations et vérifications ne doivent pas disparaître du suivi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709"/>
      </w:tblGrid>
      <w:tr>
        <w:trPr>
          <w:cantSplit/>
          <w:tblHeader/>
        </w:trPr>
        <w:tc>
          <w:tcPr>
            <w:tcW w:type="dxa" w:w="5328"/>
            <w:vAlign w:val="center"/>
            <w:tcMar>
              <w:top w:w="80" w:type="dxa"/>
              <w:bottom w:w="80" w:type="dxa"/>
              <w:left w:w="90" w:type="dxa"/>
              <w:right w:w="90" w:type="dxa"/>
            </w:tcMar>
            <w:shd w:fill="DCE6EB"/>
          </w:tcPr>
          <w:p>
            <w:pPr>
              <w:spacing w:after="0" w:line="247" w:lineRule="auto"/>
            </w:pPr>
            <w:r>
              <w:rPr>
                <w:b/>
                <w:i w:val="0"/>
                <w:sz w:val="18"/>
              </w:rPr>
              <w:t>Ensemble historique</w:t>
            </w:r>
          </w:p>
        </w:tc>
        <w:tc>
          <w:tcPr>
            <w:tcW w:type="dxa" w:w="4709"/>
            <w:vAlign w:val="center"/>
            <w:tcMar>
              <w:top w:w="80" w:type="dxa"/>
              <w:bottom w:w="80" w:type="dxa"/>
              <w:left w:w="90" w:type="dxa"/>
              <w:right w:w="90" w:type="dxa"/>
            </w:tcMar>
            <w:shd w:fill="DCE6EB"/>
          </w:tcPr>
          <w:p>
            <w:pPr>
              <w:spacing w:after="0" w:line="247" w:lineRule="auto"/>
            </w:pPr>
            <w:r>
              <w:rPr>
                <w:b/>
                <w:i w:val="0"/>
                <w:sz w:val="18"/>
              </w:rPr>
              <w:t>État actuel</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E01 — Observabilité</w:t>
            </w:r>
          </w:p>
        </w:tc>
        <w:tc>
          <w:tcPr>
            <w:tcW w:type="dxa" w:w="4709"/>
            <w:vAlign w:val="center"/>
            <w:tcMar>
              <w:top w:w="80" w:type="dxa"/>
              <w:bottom w:w="80" w:type="dxa"/>
              <w:left w:w="90" w:type="dxa"/>
              <w:right w:w="90" w:type="dxa"/>
            </w:tcMar>
            <w:shd w:fill="FFFFFF"/>
          </w:tcPr>
          <w:p>
            <w:pPr>
              <w:spacing w:after="0" w:line="247" w:lineRule="auto"/>
            </w:pPr>
            <w:r>
              <w:rPr>
                <w:b w:val="0"/>
                <w:i w:val="0"/>
                <w:sz w:val="18"/>
              </w:rPr>
              <w:t>Réception réelle d’événements et alertes non démontrée</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E02/E03 — Présentation et vocabulaire</w:t>
            </w:r>
          </w:p>
        </w:tc>
        <w:tc>
          <w:tcPr>
            <w:tcW w:type="dxa" w:w="4709"/>
            <w:vAlign w:val="center"/>
            <w:tcMar>
              <w:top w:w="80" w:type="dxa"/>
              <w:bottom w:w="80" w:type="dxa"/>
              <w:left w:w="90" w:type="dxa"/>
              <w:right w:w="90" w:type="dxa"/>
            </w:tcMar>
            <w:shd w:fill="F4F6F7"/>
          </w:tcPr>
          <w:p>
            <w:pPr>
              <w:spacing w:after="0" w:line="247" w:lineRule="auto"/>
            </w:pPr>
            <w:r>
              <w:rPr>
                <w:b w:val="0"/>
                <w:i w:val="0"/>
                <w:sz w:val="18"/>
              </w:rPr>
              <w:t>Progrès réels, mais partiels ; N01 demeure</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E04 — Performance mesurée</w:t>
            </w:r>
          </w:p>
        </w:tc>
        <w:tc>
          <w:tcPr>
            <w:tcW w:type="dxa" w:w="4709"/>
            <w:vAlign w:val="center"/>
            <w:tcMar>
              <w:top w:w="80" w:type="dxa"/>
              <w:bottom w:w="80" w:type="dxa"/>
              <w:left w:w="90" w:type="dxa"/>
              <w:right w:w="90" w:type="dxa"/>
            </w:tcMar>
            <w:shd w:fill="FFFFFF"/>
          </w:tcPr>
          <w:p>
            <w:pPr>
              <w:spacing w:after="0" w:line="247" w:lineRule="auto"/>
            </w:pPr>
            <w:r>
              <w:rPr>
                <w:b w:val="0"/>
                <w:i w:val="0"/>
                <w:sz w:val="18"/>
              </w:rPr>
              <w:t>Toujours ouverte</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E05 — Contenu et liens</w:t>
            </w:r>
          </w:p>
        </w:tc>
        <w:tc>
          <w:tcPr>
            <w:tcW w:type="dxa" w:w="4709"/>
            <w:vAlign w:val="center"/>
            <w:tcMar>
              <w:top w:w="80" w:type="dxa"/>
              <w:bottom w:w="80" w:type="dxa"/>
              <w:left w:w="90" w:type="dxa"/>
              <w:right w:w="90" w:type="dxa"/>
            </w:tcMar>
            <w:shd w:fill="F4F6F7"/>
          </w:tcPr>
          <w:p>
            <w:pPr>
              <w:spacing w:after="0" w:line="247" w:lineRule="auto"/>
            </w:pPr>
            <w:r>
              <w:rPr>
                <w:b w:val="0"/>
                <w:i w:val="0"/>
                <w:sz w:val="18"/>
              </w:rPr>
              <w:t>Pas de validation complète supplémentaire</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E06 — Contrats et structure</w:t>
            </w:r>
          </w:p>
        </w:tc>
        <w:tc>
          <w:tcPr>
            <w:tcW w:type="dxa" w:w="4709"/>
            <w:vAlign w:val="center"/>
            <w:tcMar>
              <w:top w:w="80" w:type="dxa"/>
              <w:bottom w:w="80" w:type="dxa"/>
              <w:left w:w="90" w:type="dxa"/>
              <w:right w:w="90" w:type="dxa"/>
            </w:tcMar>
            <w:shd w:fill="FFFFFF"/>
          </w:tcPr>
          <w:p>
            <w:pPr>
              <w:spacing w:after="0" w:line="247" w:lineRule="auto"/>
            </w:pPr>
            <w:r>
              <w:rPr>
                <w:b w:val="0"/>
                <w:i w:val="0"/>
                <w:sz w:val="18"/>
              </w:rPr>
              <w:t>Parsing amélioré ; dette restante</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V01 — CWV/TTFB</w:t>
            </w:r>
          </w:p>
        </w:tc>
        <w:tc>
          <w:tcPr>
            <w:tcW w:type="dxa" w:w="4709"/>
            <w:vAlign w:val="center"/>
            <w:tcMar>
              <w:top w:w="80" w:type="dxa"/>
              <w:bottom w:w="80" w:type="dxa"/>
              <w:left w:w="90" w:type="dxa"/>
              <w:right w:w="90" w:type="dxa"/>
            </w:tcMar>
            <w:shd w:fill="F4F6F7"/>
          </w:tcPr>
          <w:p>
            <w:pPr>
              <w:spacing w:after="0" w:line="247" w:lineRule="auto"/>
            </w:pPr>
            <w:r>
              <w:rPr>
                <w:b w:val="0"/>
                <w:i w:val="0"/>
                <w:sz w:val="18"/>
              </w:rPr>
              <w:t>Non vérifié</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V02 — Livraison/protections</w:t>
            </w:r>
          </w:p>
        </w:tc>
        <w:tc>
          <w:tcPr>
            <w:tcW w:type="dxa" w:w="4709"/>
            <w:vAlign w:val="center"/>
            <w:tcMar>
              <w:top w:w="80" w:type="dxa"/>
              <w:bottom w:w="80" w:type="dxa"/>
              <w:left w:w="90" w:type="dxa"/>
              <w:right w:w="90" w:type="dxa"/>
            </w:tcMar>
            <w:shd w:fill="FFFFFF"/>
          </w:tcPr>
          <w:p>
            <w:pPr>
              <w:spacing w:after="0" w:line="247" w:lineRule="auto"/>
            </w:pPr>
            <w:r>
              <w:rPr>
                <w:b w:val="0"/>
                <w:i w:val="0"/>
                <w:sz w:val="18"/>
              </w:rPr>
              <w:t>CI et réglages archivés disponibles ; publication actuelle et protections non complètement établies</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V03/V04 — AA, Safari et matériel</w:t>
            </w:r>
          </w:p>
        </w:tc>
        <w:tc>
          <w:tcPr>
            <w:tcW w:type="dxa" w:w="4709"/>
            <w:vAlign w:val="center"/>
            <w:tcMar>
              <w:top w:w="80" w:type="dxa"/>
              <w:bottom w:w="80" w:type="dxa"/>
              <w:left w:w="90" w:type="dxa"/>
              <w:right w:w="90" w:type="dxa"/>
            </w:tcMar>
            <w:shd w:fill="F4F6F7"/>
          </w:tcPr>
          <w:p>
            <w:pPr>
              <w:spacing w:after="0" w:line="247" w:lineRule="auto"/>
            </w:pPr>
            <w:r>
              <w:rPr>
                <w:b w:val="0"/>
                <w:i w:val="0"/>
                <w:sz w:val="18"/>
              </w:rPr>
              <w:t>Contrôles ciblés seulement</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V05 — Exports</w:t>
            </w:r>
          </w:p>
        </w:tc>
        <w:tc>
          <w:tcPr>
            <w:tcW w:type="dxa" w:w="4709"/>
            <w:vAlign w:val="center"/>
            <w:tcMar>
              <w:top w:w="80" w:type="dxa"/>
              <w:bottom w:w="80" w:type="dxa"/>
              <w:left w:w="90" w:type="dxa"/>
              <w:right w:w="90" w:type="dxa"/>
            </w:tcMar>
            <w:shd w:fill="FFFFFF"/>
          </w:tcPr>
          <w:p>
            <w:pPr>
              <w:spacing w:after="0" w:line="247" w:lineRule="auto"/>
            </w:pPr>
            <w:r>
              <w:rPr>
                <w:b w:val="0"/>
                <w:i w:val="0"/>
                <w:sz w:val="18"/>
              </w:rPr>
              <w:t>Partiel ; PNG réellement défaillant sur liste longue</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V06 — Comparaison/post-board</w:t>
            </w:r>
          </w:p>
        </w:tc>
        <w:tc>
          <w:tcPr>
            <w:tcW w:type="dxa" w:w="4709"/>
            <w:vAlign w:val="center"/>
            <w:tcMar>
              <w:top w:w="80" w:type="dxa"/>
              <w:bottom w:w="80" w:type="dxa"/>
              <w:left w:w="90" w:type="dxa"/>
              <w:right w:w="90" w:type="dxa"/>
            </w:tcMar>
            <w:shd w:fill="F4F6F7"/>
          </w:tcPr>
          <w:p>
            <w:pPr>
              <w:spacing w:after="0" w:line="247" w:lineRule="auto"/>
            </w:pPr>
            <w:r>
              <w:rPr>
                <w:b w:val="0"/>
                <w:i w:val="0"/>
                <w:sz w:val="18"/>
              </w:rPr>
              <w:t>Comparaison ciblée et contrats de population vérifiés, parcours complet non certifié</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V07 — Cartes spéciales</w:t>
            </w:r>
          </w:p>
        </w:tc>
        <w:tc>
          <w:tcPr>
            <w:tcW w:type="dxa" w:w="4709"/>
            <w:vAlign w:val="center"/>
            <w:tcMar>
              <w:top w:w="80" w:type="dxa"/>
              <w:bottom w:w="80" w:type="dxa"/>
              <w:left w:w="90" w:type="dxa"/>
              <w:right w:w="90" w:type="dxa"/>
            </w:tcMar>
            <w:shd w:fill="FFFFFF"/>
          </w:tcPr>
          <w:p>
            <w:pPr>
              <w:spacing w:after="0" w:line="247" w:lineRule="auto"/>
            </w:pPr>
            <w:r>
              <w:rPr>
                <w:b w:val="0"/>
                <w:i w:val="0"/>
                <w:sz w:val="18"/>
              </w:rPr>
              <w:t>Non exhaustif</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V08/V09 — Sentry et juridique</w:t>
            </w:r>
          </w:p>
        </w:tc>
        <w:tc>
          <w:tcPr>
            <w:tcW w:type="dxa" w:w="4709"/>
            <w:vAlign w:val="center"/>
            <w:tcMar>
              <w:top w:w="80" w:type="dxa"/>
              <w:bottom w:w="80" w:type="dxa"/>
              <w:left w:w="90" w:type="dxa"/>
              <w:right w:w="90" w:type="dxa"/>
            </w:tcMar>
            <w:shd w:fill="F4F6F7"/>
          </w:tcPr>
          <w:p>
            <w:pPr>
              <w:spacing w:after="0" w:line="247" w:lineRule="auto"/>
            </w:pPr>
            <w:r>
              <w:rPr>
                <w:b w:val="0"/>
                <w:i w:val="0"/>
                <w:sz w:val="18"/>
              </w:rPr>
              <w:t>Non vérifiés globalement</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V10 — Indexation</w:t>
            </w:r>
          </w:p>
        </w:tc>
        <w:tc>
          <w:tcPr>
            <w:tcW w:type="dxa" w:w="4709"/>
            <w:vAlign w:val="center"/>
            <w:tcMar>
              <w:top w:w="80" w:type="dxa"/>
              <w:bottom w:w="80" w:type="dxa"/>
              <w:left w:w="90" w:type="dxa"/>
              <w:right w:w="90" w:type="dxa"/>
            </w:tcMar>
            <w:shd w:fill="FFFFFF"/>
          </w:tcPr>
          <w:p>
            <w:pPr>
              <w:spacing w:after="0" w:line="247" w:lineRule="auto"/>
            </w:pPr>
            <w:r>
              <w:rPr>
                <w:b w:val="0"/>
                <w:i w:val="0"/>
                <w:sz w:val="18"/>
              </w:rPr>
              <w:t>Non vérifiée</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V11 — Navigation/partage</w:t>
            </w:r>
          </w:p>
        </w:tc>
        <w:tc>
          <w:tcPr>
            <w:tcW w:type="dxa" w:w="4709"/>
            <w:vAlign w:val="center"/>
            <w:tcMar>
              <w:top w:w="80" w:type="dxa"/>
              <w:bottom w:w="80" w:type="dxa"/>
              <w:left w:w="90" w:type="dxa"/>
              <w:right w:w="90" w:type="dxa"/>
            </w:tcMar>
            <w:shd w:fill="F4F6F7"/>
          </w:tcPr>
          <w:p>
            <w:pPr>
              <w:spacing w:after="0" w:line="247" w:lineRule="auto"/>
            </w:pPr>
            <w:r>
              <w:rPr>
                <w:b w:val="0"/>
                <w:i w:val="0"/>
                <w:sz w:val="18"/>
              </w:rPr>
              <w:t>Preuves ciblées disponibles, tous les enchaînements non couverts</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V12 — Liens externes</w:t>
            </w:r>
          </w:p>
        </w:tc>
        <w:tc>
          <w:tcPr>
            <w:tcW w:type="dxa" w:w="4709"/>
            <w:vAlign w:val="center"/>
            <w:tcMar>
              <w:top w:w="80" w:type="dxa"/>
              <w:bottom w:w="80" w:type="dxa"/>
              <w:left w:w="90" w:type="dxa"/>
              <w:right w:w="90" w:type="dxa"/>
            </w:tcMar>
            <w:shd w:fill="FFFFFF"/>
          </w:tcPr>
          <w:p>
            <w:pPr>
              <w:spacing w:after="0" w:line="247" w:lineRule="auto"/>
            </w:pPr>
            <w:r>
              <w:rPr>
                <w:b w:val="0"/>
                <w:i w:val="0"/>
                <w:sz w:val="18"/>
              </w:rPr>
              <w:t>Non vérifiés intégralement</w:t>
            </w:r>
          </w:p>
        </w:tc>
      </w:tr>
    </w:tbl>
    <w:p>
      <w:pPr>
        <w:spacing w:after="40"/>
      </w:pPr>
    </w:p>
    <w:p>
      <w:pPr/>
      <w:r>
        <w:rPr>
          <w:b w:val="0"/>
          <w:i w:val="0"/>
        </w:rPr>
        <w:t>La priorité est de lever les incohérences restantes et d’établir la concordance entre version vérifiée et version servie. Une campagne multi-navigateurs générale n’est pas justifiée par les constats de cette session.</w:t>
      </w:r>
    </w:p>
    <w:p>
      <w:pPr>
        <w:pStyle w:val="Heading1"/>
      </w:pPr>
      <w:r>
        <w:rPr>
          <w:b w:val="0"/>
          <w:i w:val="0"/>
        </w:rPr>
        <w:t>24. Verdict comparatif</w:t>
      </w:r>
    </w:p>
    <w:p>
      <w:pPr>
        <w:pStyle w:val="Heading2"/>
      </w:pPr>
      <w:r>
        <w:rPr>
          <w:b w:val="0"/>
          <w:i w:val="0"/>
        </w:rPr>
        <w:t>Les correctifs réalisés depuis l’audit précédent ont-ils significativement amélioré ManaTuner ?</w:t>
      </w:r>
    </w:p>
    <w:p>
      <w:pPr/>
      <w:r>
        <w:rPr>
          <w:b/>
          <w:i w:val="0"/>
        </w:rPr>
        <w:t>OUI.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4709"/>
      </w:tblGrid>
      <w:tr>
        <w:trPr>
          <w:cantSplit/>
          <w:tblHeader/>
        </w:trPr>
        <w:tc>
          <w:tcPr>
            <w:tcW w:type="dxa" w:w="5328"/>
            <w:vAlign w:val="center"/>
            <w:tcMar>
              <w:top w:w="80" w:type="dxa"/>
              <w:bottom w:w="80" w:type="dxa"/>
              <w:left w:w="90" w:type="dxa"/>
              <w:right w:w="90" w:type="dxa"/>
            </w:tcMar>
            <w:shd w:fill="DCE6EB"/>
          </w:tcPr>
          <w:p>
            <w:pPr>
              <w:spacing w:after="0" w:line="247" w:lineRule="auto"/>
            </w:pPr>
            <w:r>
              <w:rPr>
                <w:b/>
                <w:i w:val="0"/>
                <w:sz w:val="18"/>
              </w:rPr>
              <w:t>Indicateur</w:t>
            </w:r>
          </w:p>
        </w:tc>
        <w:tc>
          <w:tcPr>
            <w:tcW w:type="dxa" w:w="4709"/>
            <w:vAlign w:val="center"/>
            <w:tcMar>
              <w:top w:w="80" w:type="dxa"/>
              <w:bottom w:w="80" w:type="dxa"/>
              <w:left w:w="90" w:type="dxa"/>
              <w:right w:w="90" w:type="dxa"/>
            </w:tcMar>
            <w:shd w:fill="DCE6EB"/>
          </w:tcPr>
          <w:p>
            <w:pPr>
              <w:spacing w:after="0" w:line="247" w:lineRule="auto"/>
            </w:pPr>
            <w:r>
              <w:rPr>
                <w:b/>
                <w:i w:val="0"/>
                <w:sz w:val="18"/>
              </w:rPr>
              <w:t>Résultat</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Avant</w:t>
            </w:r>
          </w:p>
        </w:tc>
        <w:tc>
          <w:tcPr>
            <w:tcW w:type="dxa" w:w="4709"/>
            <w:vAlign w:val="center"/>
            <w:tcMar>
              <w:top w:w="80" w:type="dxa"/>
              <w:bottom w:w="80" w:type="dxa"/>
              <w:left w:w="90" w:type="dxa"/>
              <w:right w:w="90" w:type="dxa"/>
            </w:tcMar>
            <w:shd w:fill="FFFFFF"/>
          </w:tcPr>
          <w:p>
            <w:pPr>
              <w:spacing w:after="0" w:line="247" w:lineRule="auto"/>
            </w:pPr>
            <w:r>
              <w:rPr>
                <w:b/>
                <w:i w:val="0"/>
                <w:sz w:val="18"/>
              </w:rPr>
              <w:t>61/100</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Après</w:t>
            </w:r>
          </w:p>
        </w:tc>
        <w:tc>
          <w:tcPr>
            <w:tcW w:type="dxa" w:w="4709"/>
            <w:vAlign w:val="center"/>
            <w:tcMar>
              <w:top w:w="80" w:type="dxa"/>
              <w:bottom w:w="80" w:type="dxa"/>
              <w:left w:w="90" w:type="dxa"/>
              <w:right w:w="90" w:type="dxa"/>
            </w:tcMar>
            <w:shd w:fill="F4F6F7"/>
          </w:tcPr>
          <w:p>
            <w:pPr>
              <w:spacing w:after="0" w:line="247" w:lineRule="auto"/>
            </w:pPr>
            <w:r>
              <w:rPr>
                <w:b/>
                <w:i w:val="0"/>
                <w:sz w:val="18"/>
              </w:rPr>
              <w:t>72/100</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Gain</w:t>
            </w:r>
          </w:p>
        </w:tc>
        <w:tc>
          <w:tcPr>
            <w:tcW w:type="dxa" w:w="4709"/>
            <w:vAlign w:val="center"/>
            <w:tcMar>
              <w:top w:w="80" w:type="dxa"/>
              <w:bottom w:w="80" w:type="dxa"/>
              <w:left w:w="90" w:type="dxa"/>
              <w:right w:w="90" w:type="dxa"/>
            </w:tcMar>
            <w:shd w:fill="FFFFFF"/>
          </w:tcPr>
          <w:p>
            <w:pPr>
              <w:spacing w:after="0" w:line="247" w:lineRule="auto"/>
            </w:pPr>
            <w:r>
              <w:rPr>
                <w:b/>
                <w:i w:val="0"/>
                <w:sz w:val="18"/>
              </w:rPr>
              <w:t>+11 points</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Défauts historiques corrigés et vérifiés sur candidat</w:t>
            </w:r>
          </w:p>
        </w:tc>
        <w:tc>
          <w:tcPr>
            <w:tcW w:type="dxa" w:w="4709"/>
            <w:vAlign w:val="center"/>
            <w:tcMar>
              <w:top w:w="80" w:type="dxa"/>
              <w:bottom w:w="80" w:type="dxa"/>
              <w:left w:w="90" w:type="dxa"/>
              <w:right w:w="90" w:type="dxa"/>
            </w:tcMar>
            <w:shd w:fill="F4F6F7"/>
          </w:tcPr>
          <w:p>
            <w:pPr>
              <w:spacing w:after="0" w:line="247" w:lineRule="auto"/>
            </w:pPr>
            <w:r>
              <w:rPr>
                <w:b/>
                <w:i w:val="0"/>
                <w:sz w:val="18"/>
              </w:rPr>
              <w:t>11/13</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Problèmes importants P1 corrigés</w:t>
            </w:r>
          </w:p>
        </w:tc>
        <w:tc>
          <w:tcPr>
            <w:tcW w:type="dxa" w:w="4709"/>
            <w:vAlign w:val="center"/>
            <w:tcMar>
              <w:top w:w="80" w:type="dxa"/>
              <w:bottom w:w="80" w:type="dxa"/>
              <w:left w:w="90" w:type="dxa"/>
              <w:right w:w="90" w:type="dxa"/>
            </w:tcMar>
            <w:shd w:fill="FFFFFF"/>
          </w:tcPr>
          <w:p>
            <w:pPr>
              <w:spacing w:after="0" w:line="247" w:lineRule="auto"/>
            </w:pPr>
            <w:r>
              <w:rPr>
                <w:b/>
                <w:i w:val="0"/>
                <w:sz w:val="18"/>
              </w:rPr>
              <w:t>7/7</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P0 corrigés</w:t>
            </w:r>
          </w:p>
        </w:tc>
        <w:tc>
          <w:tcPr>
            <w:tcW w:type="dxa" w:w="4709"/>
            <w:vAlign w:val="center"/>
            <w:tcMar>
              <w:top w:w="80" w:type="dxa"/>
              <w:bottom w:w="80" w:type="dxa"/>
              <w:left w:w="90" w:type="dxa"/>
              <w:right w:w="90" w:type="dxa"/>
            </w:tcMar>
            <w:shd w:fill="F4F6F7"/>
          </w:tcPr>
          <w:p>
            <w:pPr>
              <w:spacing w:after="0" w:line="247" w:lineRule="auto"/>
            </w:pPr>
            <w:r>
              <w:rPr>
                <w:b/>
                <w:i w:val="0"/>
                <w:sz w:val="18"/>
              </w:rPr>
              <w:t>0/0 — aucun identifié</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P1 corrigés</w:t>
            </w:r>
          </w:p>
        </w:tc>
        <w:tc>
          <w:tcPr>
            <w:tcW w:type="dxa" w:w="4709"/>
            <w:vAlign w:val="center"/>
            <w:tcMar>
              <w:top w:w="80" w:type="dxa"/>
              <w:bottom w:w="80" w:type="dxa"/>
              <w:left w:w="90" w:type="dxa"/>
              <w:right w:w="90" w:type="dxa"/>
            </w:tcMar>
            <w:shd w:fill="FFFFFF"/>
          </w:tcPr>
          <w:p>
            <w:pPr>
              <w:spacing w:after="0" w:line="247" w:lineRule="auto"/>
            </w:pPr>
            <w:r>
              <w:rPr>
                <w:b/>
                <w:i w:val="0"/>
                <w:sz w:val="18"/>
              </w:rPr>
              <w:t>7/7</w:t>
            </w:r>
          </w:p>
        </w:tc>
      </w:tr>
      <w:tr>
        <w:trPr>
          <w:cantSplit/>
        </w:trPr>
        <w:tc>
          <w:tcPr>
            <w:tcW w:type="dxa" w:w="5328"/>
            <w:vAlign w:val="center"/>
            <w:tcMar>
              <w:top w:w="80" w:type="dxa"/>
              <w:bottom w:w="80" w:type="dxa"/>
              <w:left w:w="90" w:type="dxa"/>
              <w:right w:w="90" w:type="dxa"/>
            </w:tcMar>
            <w:shd w:fill="F4F6F7"/>
          </w:tcPr>
          <w:p>
            <w:pPr>
              <w:spacing w:after="0" w:line="247" w:lineRule="auto"/>
            </w:pPr>
            <w:r>
              <w:rPr>
                <w:b w:val="0"/>
                <w:i w:val="0"/>
                <w:sz w:val="18"/>
              </w:rPr>
              <w:t>Régressions nouvelles confirmées</w:t>
            </w:r>
          </w:p>
        </w:tc>
        <w:tc>
          <w:tcPr>
            <w:tcW w:type="dxa" w:w="4709"/>
            <w:vAlign w:val="center"/>
            <w:tcMar>
              <w:top w:w="80" w:type="dxa"/>
              <w:bottom w:w="80" w:type="dxa"/>
              <w:left w:w="90" w:type="dxa"/>
              <w:right w:w="90" w:type="dxa"/>
            </w:tcMar>
            <w:shd w:fill="F4F6F7"/>
          </w:tcPr>
          <w:p>
            <w:pPr>
              <w:spacing w:after="0" w:line="247" w:lineRule="auto"/>
            </w:pPr>
            <w:r>
              <w:rPr>
                <w:b/>
                <w:i w:val="0"/>
                <w:sz w:val="18"/>
              </w:rPr>
              <w:t>1</w:t>
            </w:r>
          </w:p>
        </w:tc>
      </w:tr>
      <w:tr>
        <w:trPr>
          <w:cantSplit/>
        </w:trPr>
        <w:tc>
          <w:tcPr>
            <w:tcW w:type="dxa" w:w="5328"/>
            <w:vAlign w:val="center"/>
            <w:tcMar>
              <w:top w:w="80" w:type="dxa"/>
              <w:bottom w:w="80" w:type="dxa"/>
              <w:left w:w="90" w:type="dxa"/>
              <w:right w:w="90" w:type="dxa"/>
            </w:tcMar>
            <w:shd w:fill="FFFFFF"/>
          </w:tcPr>
          <w:p>
            <w:pPr>
              <w:spacing w:after="0" w:line="247" w:lineRule="auto"/>
            </w:pPr>
            <w:r>
              <w:rPr>
                <w:b w:val="0"/>
                <w:i w:val="0"/>
                <w:sz w:val="18"/>
              </w:rPr>
              <w:t>Autres défauts nouvellement découverts</w:t>
            </w:r>
          </w:p>
        </w:tc>
        <w:tc>
          <w:tcPr>
            <w:tcW w:type="dxa" w:w="4709"/>
            <w:vAlign w:val="center"/>
            <w:tcMar>
              <w:top w:w="80" w:type="dxa"/>
              <w:bottom w:w="80" w:type="dxa"/>
              <w:left w:w="90" w:type="dxa"/>
              <w:right w:w="90" w:type="dxa"/>
            </w:tcMar>
            <w:shd w:fill="FFFFFF"/>
          </w:tcPr>
          <w:p>
            <w:pPr>
              <w:spacing w:after="0" w:line="247" w:lineRule="auto"/>
            </w:pPr>
            <w:r>
              <w:rPr>
                <w:b/>
                <w:i w:val="0"/>
                <w:sz w:val="18"/>
              </w:rPr>
              <w:t>1</w:t>
            </w:r>
          </w:p>
        </w:tc>
      </w:tr>
    </w:tbl>
    <w:p>
      <w:pPr>
        <w:spacing w:after="40"/>
      </w:pPr>
    </w:p>
    <w:p>
      <w:pPr/>
      <w:r>
        <w:rPr>
          <w:b/>
          <w:i w:val="0"/>
        </w:rPr>
        <w:t xml:space="preserve"> AMÉLIORATION NETTE</w:t>
      </w:r>
    </w:p>
    <w:p>
      <w:pPr>
        <w:pStyle w:val="Heading2"/>
      </w:pPr>
      <w:r>
        <w:rPr>
          <w:b w:val="0"/>
          <w:i w:val="0"/>
        </w:rPr>
        <w:t>ManaTuner possède-t-il maintenant le niveau de qualité d’un excellent site web moderne prêt pour une utilisation réelle en production ?</w:t>
      </w:r>
    </w:p>
    <w:p>
      <w:pPr/>
      <w:r>
        <w:rPr>
          <w:b/>
          <w:i w:val="0"/>
        </w:rPr>
        <w:t>NON, au niveau d’excellence demandé.</w:t>
      </w:r>
    </w:p>
    <w:p>
      <w:pPr/>
      <w:r>
        <w:rPr>
          <w:b w:val="0"/>
          <w:i w:val="0"/>
        </w:rPr>
        <w:t>Le candidat est beaucoup plus fiable et utilisable avec des réserves ciblées. L’excellence n’est pas démontrée tant que la version publique conserve les défauts de livraison observés, que les exports restent incomplets ou ambigus, et que les validations essentielles de terrain restent ouvertes.</w:t>
      </w:r>
    </w:p>
    <w:p>
      <w:pPr/>
      <w:r>
        <w:rPr>
          <w:b/>
          <w:i w:val="0"/>
        </w:rPr>
        <w:t>Audit terminé.</w:t>
      </w:r>
      <w:r>
        <w:rPr>
          <w:b w:val="0"/>
          <w:i w:val="0"/>
        </w:rPr>
        <w:t xml:space="preserve"> Aucun code, test ou fichier du projet n’a été corrigé. Aucun commit, push, workflow ou déploiement n’a été déclenché. Les traces nouvelles ont été écrites uniquement hors du dépôt, dans </w:t>
      </w:r>
      <w:r>
        <w:rPr>
          <w:rFonts w:ascii="Calibri" w:hAnsi="Calibri"/>
          <w:b w:val="0"/>
          <w:i w:val="0"/>
          <w:sz w:val="18"/>
        </w:rPr>
        <w:t>/tmp</w:t>
      </w:r>
      <w:r>
        <w:rPr>
          <w:b w:val="0"/>
          <w:i w:val="0"/>
        </w:rPr>
        <w:t>. Le HEAD et les entrées du statut Git final sont identiques à ceux relevés au début.</w:t>
      </w:r>
    </w:p>
    <w:sectPr w:rsidR="00FC693F" w:rsidRPr="0006063C" w:rsidSect="00034616">
      <w:footerReference w:type="default" r:id="rId9"/>
      <w:pgSz w:w="11909" w:h="16834"/>
      <w:pgMar w:top="979" w:right="936" w:bottom="979"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ManaTuner • Audit comparatif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Volumes/DataDisk/_Projects/Project Mana base V2/docs/engineering/AUDIT-POST-CORRECTIFS-MANATUNER-2026-09-06.docx" TargetMode="External"/><Relationship Id="rId11" Type="http://schemas.openxmlformats.org/officeDocument/2006/relationships/hyperlink" Target="/Volumes/DataDisk/_Projects/Project Mana base V2/src/services/deckParser.ts:199" TargetMode="External"/><Relationship Id="rId12" Type="http://schemas.openxmlformats.org/officeDocument/2006/relationships/hyperlink" Target="/Volumes/DataDisk/_Projects/Project Mana base V2/src/components/analyzer/karstenDeltas.ts:48" TargetMode="External"/><Relationship Id="rId13" Type="http://schemas.openxmlformats.org/officeDocument/2006/relationships/hyperlink" Target="/Volumes/DataDisk/_Projects/Project Mana base V2/src/pages/AnalyzerPage.tsx:235" TargetMode="External"/><Relationship Id="rId14" Type="http://schemas.openxmlformats.org/officeDocument/2006/relationships/hyperlink" Target="/Volumes/DataDisk/_Projects/Project Mana base V2/src/lib/privacy.ts:28" TargetMode="External"/><Relationship Id="rId15" Type="http://schemas.openxmlformats.org/officeDocument/2006/relationships/hyperlink" Target="/Volumes/DataDisk/_Projects/Project Mana base V2/src/services/http.ts:75" TargetMode="External"/><Relationship Id="rId16" Type="http://schemas.openxmlformats.org/officeDocument/2006/relationships/hyperlink" Target="/Volumes/DataDisk/_Projects/Project Mana base V2/src/components/export/ManaBlueprint.tsx:60" TargetMode="External"/><Relationship Id="rId17" Type="http://schemas.openxmlformats.org/officeDocument/2006/relationships/hyperlink" Target="/Volumes/DataDisk/_Projects/Project Mana base V2/src/components/export/manaStability.ts:9" TargetMode="External"/><Relationship Id="rId18" Type="http://schemas.openxmlformats.org/officeDocument/2006/relationships/hyperlink" Target="/Volumes/DataDisk/_Projects/Project Mana base V2/src/components/export/ManaBlueprint.tsx:508" TargetMode="External"/><Relationship Id="rId19" Type="http://schemas.openxmlformats.org/officeDocument/2006/relationships/hyperlink" Target="/Volumes/DataDisk/_Projects/Project Mana base V2/src/components/export/ManaBlueprint.tsx:111" TargetMode="External"/><Relationship Id="rId20" Type="http://schemas.openxmlformats.org/officeDocument/2006/relationships/hyperlink" Target="/tmp/manatuner-comparative-sample.png" TargetMode="External"/><Relationship Id="rId21" Type="http://schemas.openxmlformats.org/officeDocument/2006/relationships/hyperlink" Target="/tmp/manatuner-comparative-http.json" TargetMode="External"/><Relationship Id="rId22" Type="http://schemas.openxmlformats.org/officeDocument/2006/relationships/hyperlink" Target="/tmp/manatuner-comparative-tests.log" TargetMode="External"/><Relationship Id="rId23" Type="http://schemas.openxmlformats.org/officeDocument/2006/relationships/hyperlink" Target="/tmp/manatuner-comparative-e2e.log" TargetMode="External"/><Relationship Id="rId24" Type="http://schemas.openxmlformats.org/officeDocument/2006/relationships/hyperlink" Target="/tmp/manatuner-comparative-keyboard.log" TargetMode="External"/><Relationship Id="rId25" Type="http://schemas.openxmlformats.org/officeDocument/2006/relationships/hyperlink" Target="/tmp/manatuner-comparative-independent.log" TargetMode="External"/><Relationship Id="rId26" Type="http://schemas.openxmlformats.org/officeDocument/2006/relationships/hyperlink" Target="/tmp/manatuner-comparative-export.log" TargetMode="External"/><Relationship Id="rId27" Type="http://schemas.openxmlformats.org/officeDocument/2006/relationships/hyperlink" Target="https://github.com/gbordes77/manatuner/actions/runs/340293270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comparatif post correctifs ManaTuner</dc:title>
  <dc:subject>Audit du 6 septembre 2026 — 61 à 72 sur 100</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