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34"/>
          <w:szCs w:val="34"/>
        </w:rPr>
        <w:t xml:space="preserve">Connector Guard Spec — Amendment 1</w:t>
      </w:r>
    </w:p>
    <w:p>
      <w:pPr>
        <w:spacing w:after="120" w:before="0"/>
      </w:pPr>
      <w:r>
        <w:rPr>
          <w:color w:val="595959"/>
          <w:sz w:val="24"/>
          <w:szCs w:val="24"/>
        </w:rPr>
        <w:t xml:space="preserve">Schema validation depth aligned to the deployed renderers</w:t>
      </w:r>
    </w:p>
    <w:p>
      <w:pPr>
        <w:spacing w:after="120" w:before="0"/>
      </w:pPr>
      <w:r>
        <w:rPr>
          <w:color w:val="595959"/>
          <w:sz w:val="19"/>
          <w:szCs w:val="19"/>
        </w:rPr>
        <w:t xml:space="preserve">CONN-GUARD-001 · Amends §3.2 · Tenax Intelligence Platform</w:t>
      </w:r>
    </w:p>
    <w:p>
      <w:pPr>
        <w:spacing w:after="320" w:before="0"/>
      </w:pPr>
      <w:r>
        <w:rPr>
          <w:color w:val="595959"/>
          <w:sz w:val="19"/>
          <w:szCs w:val="19"/>
        </w:rPr>
        <w:t xml:space="preserve">2026-08-15</w:t>
      </w:r>
    </w:p>
    <w:p>
      <w:pPr>
        <w:pStyle w:val="Heading1"/>
        <w:spacing w:after="140" w:before="280"/>
      </w:pPr>
      <w:r>
        <w:rPr>
          <w:b/>
          <w:bCs/>
          <w:color w:val="1F3864"/>
        </w:rPr>
        <w:t xml:space="preserve">1. What this amends, and why</w:t>
      </w:r>
    </w:p>
    <w:p>
      <w:pPr>
        <w:spacing w:after="120" w:before="0"/>
      </w:pPr>
      <w:r>
        <w:rPr>
          <w:sz w:val="21"/>
          <w:szCs w:val="21"/>
        </w:rPr>
        <w:t xml:space="preserve">CONN-GUARD-001 §3.2 currently requires, as a shared rule across all renderers:</w:t>
      </w:r>
    </w:p>
    <w:p>
      <w:pPr>
        <w:pBdr>
          <w:left w:val="single" w:color="1F3864" w:sz="12" w:space="12"/>
        </w:pBdr>
        <w:spacing w:after="140" w:before="100"/>
        <w:ind w:left="360"/>
      </w:pPr>
      <w:r>
        <w:rPr>
          <w:i/>
          <w:iCs/>
          <w:sz w:val="21"/>
          <w:szCs w:val="21"/>
        </w:rPr>
        <w:t xml:space="preserve">“section/slide objects must carry a type and required fields per type.”</w:t>
      </w:r>
    </w:p>
    <w:p>
      <w:pPr>
        <w:spacing w:after="120" w:before="0"/>
      </w:pPr>
      <w:r>
        <w:rPr>
          <w:sz w:val="21"/>
          <w:szCs w:val="21"/>
        </w:rPr>
        <w:t xml:space="preserve">That clause cannot be implemented as written without breaking working documents. The deployed renderers accept more than it describes, and the guard sits in front of them: anything it rejects never reaches the code that would have accepted it.</w:t>
      </w:r>
    </w:p>
    <w:p>
      <w:pPr>
        <w:spacing w:after="120" w:before="0"/>
      </w:pPr>
      <w:r>
        <w:rPr>
          <w:sz w:val="21"/>
          <w:szCs w:val="21"/>
        </w:rPr>
        <w:t xml:space="preserve">The single clearest instance is in spec_render_common.py, which resolves a section type as: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stype = sec.get("type", "text")</w:t>
      </w:r>
    </w:p>
    <w:p>
      <w:pPr>
        <w:spacing w:after="120" w:before="0"/>
      </w:pPr>
      <w:r>
        <w:rPr>
          <w:sz w:val="21"/>
          <w:szCs w:val="21"/>
        </w:rPr>
        <w:t xml:space="preserve">A section with no type is therefore valid and renders as text. The clause’s first half contradicts the renderer directly.</w:t>
      </w:r>
    </w:p>
    <w:p>
      <w:pPr>
        <w:pStyle w:val="Heading1"/>
        <w:spacing w:after="140" w:before="280"/>
      </w:pPr>
      <w:r>
        <w:rPr>
          <w:b/>
          <w:bCs/>
          <w:color w:val="1F3864"/>
        </w:rPr>
        <w:t xml:space="preserve">2. Evidence</w:t>
      </w:r>
    </w:p>
    <w:p>
      <w:pPr>
        <w:spacing w:after="120" w:before="0"/>
      </w:pPr>
      <w:r>
        <w:rPr>
          <w:sz w:val="21"/>
          <w:szCs w:val="21"/>
        </w:rPr>
        <w:t xml:space="preserve">Six specs, run through the deployed document validator. All six are accepted by the renderer today, and all six would be rejected by a guard implementing §3.2 literally: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200"/>
      </w:tblGrid>
      <w:tr>
        <w:trPr>
          <w:tblHeader/>
        </w:trPr>
        <w:tc>
          <w:tcPr>
            <w:tcW w:type="dxa" w:w="42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Spec fragment</w:t>
            </w:r>
          </w:p>
        </w:tc>
        <w:tc>
          <w:tcPr>
            <w:tcW w:type="dxa" w:w="42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Renderer verdict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{"sections":[{"text":"body"}]}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VALID — type omitted, defaults to text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{"type":"divider"}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VALID — no required fields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{"type":"page_break"}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VALID — no required fields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{"type":"subheading","text":"S"}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VALID — type absent from the spec tables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{"type":"text"}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VALID — no "text" key required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{"type":"paragraph","text":"p"}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VALID — alias of text</w:t>
            </w:r>
          </w:p>
        </w:tc>
      </w:tr>
    </w:tbl>
    <w:p>
      <w:pPr>
        <w:spacing w:after="120" w:before="140"/>
      </w:pPr>
      <w:r>
        <w:rPr>
          <w:sz w:val="21"/>
          <w:szCs w:val="21"/>
        </w:rPr>
        <w:t xml:space="preserve">The same pattern holds across the other renderers: xlsx_render accepts metadata.title in place of title and a legacy data array in place of headers/rows; pptx_render models a slide as an optional elements array and likewise defaults an element type to text.</w:t>
      </w:r>
    </w:p>
    <w:p>
      <w:pPr>
        <w:spacing w:after="120" w:before="0"/>
      </w:pPr>
      <w:r>
        <w:rPr>
          <w:sz w:val="21"/>
          <w:szCs w:val="21"/>
        </w:rPr>
        <w:t xml:space="preserve">The consequence is asymmetric. The defect CONN-GUARD-001 exists to fix is an empty call producing no document. A literal §3.2 would turn good calls into no document, silently, across a wider set — a worse failure than the one being prevented.</w:t>
      </w:r>
    </w:p>
    <w:p>
      <w:pPr>
        <w:pStyle w:val="Heading1"/>
        <w:spacing w:after="140" w:before="280"/>
      </w:pPr>
      <w:r>
        <w:rPr>
          <w:b/>
          <w:bCs/>
          <w:color w:val="1F3864"/>
        </w:rPr>
        <w:t xml:space="preserve">3. Amended §3.2 — Schema Validation Layer</w:t>
      </w:r>
    </w:p>
    <w:p>
      <w:pPr>
        <w:spacing w:after="120" w:before="0"/>
      </w:pPr>
      <w:r>
        <w:rPr>
          <w:sz w:val="21"/>
          <w:szCs w:val="21"/>
        </w:rPr>
        <w:t xml:space="preserve">Each renderer registers a capability schema describing its required payload. The guard validates the incoming call against that schema before dispatch. Per-tool specificity is derived from the registered schema, not hardcoded in the guard.</w:t>
      </w:r>
    </w:p>
    <w:p>
      <w:pPr>
        <w:spacing w:after="120" w:before="140"/>
      </w:pPr>
      <w:r>
        <w:rPr>
          <w:b/>
          <w:bCs/>
          <w:sz w:val="21"/>
          <w:szCs w:val="21"/>
        </w:rPr>
        <w:t xml:space="preserve">Shared rules across all renderers (unchanged):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title required and non-empty, or a registered title alternative (xlsx_render: metadata.title).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The collection — sections / sheets / slides — required, an array, and non-empty.</w:t>
      </w:r>
    </w:p>
    <w:p>
      <w:pPr>
        <w:spacing w:after="120" w:before="140"/>
      </w:pPr>
      <w:r>
        <w:rPr>
          <w:b/>
          <w:bCs/>
          <w:sz w:val="21"/>
          <w:szCs w:val="21"/>
        </w:rPr>
        <w:t xml:space="preserve">Structural rules (amended):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Every entry in the collection must be a JSON object. A string or null is not something any renderer accepts, so rejecting it cannot produce a false negative.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An entry is NOT required to carry a type. Where the renderer defines a default, an absent type is valid and resolves to that default.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Where an entry carries a type, that type must appear in the renderer’s registered type set.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Where a type declares required fields, those fields must be present.</w:t>
      </w:r>
    </w:p>
    <w:p>
      <w:pPr>
        <w:spacing w:after="120" w:before="140"/>
      </w:pPr>
      <w:r>
        <w:rPr>
          <w:b/>
          <w:bCs/>
          <w:sz w:val="21"/>
          <w:szCs w:val="21"/>
        </w:rPr>
        <w:t xml:space="preserve">Delegation rule (new):</w:t>
      </w:r>
    </w:p>
    <w:p>
      <w:pPr>
        <w:spacing w:after="120" w:before="0"/>
      </w:pPr>
      <w:r>
        <w:rPr>
          <w:sz w:val="21"/>
          <w:szCs w:val="21"/>
        </w:rPr>
        <w:t xml:space="preserve">Any validation beyond the above is delegated to the renderer, which is the source of truth for its own payload. The guard’s remit is to stop a call that is empty, absent, or structurally impossible — not to become a second, divergent copy of a validator that already exists.</w:t>
      </w:r>
    </w:p>
    <w:p>
      <w:pPr>
        <w:pStyle w:val="Heading1"/>
        <w:spacing w:after="140" w:before="280"/>
      </w:pPr>
      <w:r>
        <w:rPr>
          <w:b/>
          <w:bCs/>
          <w:color w:val="1F3864"/>
        </w:rPr>
        <w:t xml:space="preserve">4. The registered contract, as deployed</w:t>
      </w:r>
    </w:p>
    <w:p>
      <w:pPr>
        <w:spacing w:after="120" w:before="0"/>
      </w:pPr>
      <w:r>
        <w:rPr>
          <w:sz w:val="21"/>
          <w:szCs w:val="21"/>
        </w:rPr>
        <w:t xml:space="preserve">Read from the renderers rather than transcribed, so a registry generated from these constants cannot drift from them on day one.</w:t>
      </w:r>
    </w:p>
    <w:p>
      <w:pPr>
        <w:spacing w:after="120" w:before="180"/>
      </w:pPr>
      <w:r>
        <w:rPr>
          <w:b/>
          <w:bCs/>
          <w:sz w:val="21"/>
          <w:szCs w:val="21"/>
        </w:rPr>
        <w:t xml:space="preserve">4.1 document_render and pdf_render (from_spec)</w:t>
      </w:r>
    </w:p>
    <w:p>
      <w:pPr>
        <w:spacing w:after="120" w:before="0"/>
      </w:pPr>
      <w:r>
        <w:rPr>
          <w:color w:val="595959"/>
          <w:sz w:val="19"/>
          <w:szCs w:val="19"/>
        </w:rPr>
        <w:t xml:space="preserve">Section type is optional and defaults to "text".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800"/>
      </w:tblGrid>
      <w:tr>
        <w:trPr>
          <w:tblHeader/>
        </w:trPr>
        <w:tc>
          <w:tcPr>
            <w:tcW w:type="dxa" w:w="22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Section type</w:t>
            </w:r>
          </w:p>
        </w:tc>
        <w:tc>
          <w:tcPr>
            <w:tcW w:type="dxa" w:w="24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Required fields</w:t>
            </w:r>
          </w:p>
        </w:tc>
        <w:tc>
          <w:tcPr>
            <w:tcW w:type="dxa" w:w="38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Additional constraint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bullet_list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items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items must be an array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callout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text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divider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(none)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heading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text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level 0-9 if present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image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src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key_stats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items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items must be an array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numbered_list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items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items must be an array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page_break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(none)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paragraph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(none)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quote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text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subheading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(none)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svg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content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table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rows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rows must be an array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(none)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 w:before="220"/>
      </w:pPr>
      <w:r>
        <w:rPr>
          <w:b/>
          <w:bCs/>
          <w:sz w:val="21"/>
          <w:szCs w:val="21"/>
        </w:rPr>
        <w:t xml:space="preserve">4.2 xlsx_render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Title accepted at title or metadata.title.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Each sheet needs headers and/or rows; the legacy data array is accepted with a deprecation warning.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rows must be an array of arrays; headers must be an array.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col_widths, merge_ranges, palette and row_styles must each be an object where present.</w:t>
      </w:r>
    </w:p>
    <w:p>
      <w:pPr>
        <w:spacing w:after="120" w:before="220"/>
      </w:pPr>
      <w:r>
        <w:rPr>
          <w:b/>
          <w:bCs/>
          <w:sz w:val="21"/>
          <w:szCs w:val="21"/>
        </w:rPr>
        <w:t xml:space="preserve">4.3 pptx_render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 slide has no required type. elements is optional; where present it must be an array of objects.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Element type is optional and defaults to "text". Valid types: bullet, content, image, svg, table, text.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 table element requires rows as a non-empty array of arrays.</w:t>
      </w:r>
    </w:p>
    <w:p>
      <w:pPr>
        <w:pStyle w:val="Heading1"/>
        <w:spacing w:after="140" w:before="280"/>
      </w:pPr>
      <w:r>
        <w:rPr>
          <w:b/>
          <w:bCs/>
          <w:color w:val="1F3864"/>
        </w:rPr>
        <w:t xml:space="preserve">5. Implementation status</w:t>
      </w:r>
    </w:p>
    <w:p>
      <w:pPr>
        <w:spacing w:after="120" w:before="0"/>
      </w:pPr>
      <w:r>
        <w:rPr>
          <w:sz w:val="21"/>
          <w:szCs w:val="21"/>
        </w:rPr>
        <w:t xml:space="preserve">The guard shipped in claude-connector v12.43.0 already implements the shared rules and the structural rules above, and delegates the rest. This amendment brings the specification into line with the code and with the renderers; no guard change is required to comply with it.</w:t>
      </w:r>
    </w:p>
    <w:p>
      <w:pPr>
        <w:spacing w:after="120" w:before="0"/>
      </w:pPr>
      <w:r>
        <w:rPr>
          <w:sz w:val="21"/>
          <w:szCs w:val="21"/>
        </w:rPr>
        <w:t xml:space="preserve">Should a hard gate on per-type fields be wanted later, §4 is the contract to generate it from — derived from the renderer constants at build time rather than hand-written, so the two cannot diverge. That is the failure mode this amendment exists to prevent, and hand-copying the tables would reintroduce it.</w:t>
      </w:r>
    </w:p>
    <w:p>
      <w:pPr>
        <w:pStyle w:val="Heading1"/>
        <w:spacing w:after="140" w:before="280"/>
      </w:pPr>
      <w:r>
        <w:rPr>
          <w:b/>
          <w:bCs/>
          <w:color w:val="1F3864"/>
        </w:rPr>
        <w:t xml:space="preserve">6. Change record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0"/>
      </w:tblGrid>
      <w:tr>
        <w:trPr>
          <w:tblHeader/>
        </w:trPr>
        <w:tc>
          <w:tcPr>
            <w:tcW w:type="dxa" w:w="26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Clause</w:t>
            </w:r>
          </w:p>
        </w:tc>
        <w:tc>
          <w:tcPr>
            <w:tcW w:type="dxa" w:w="58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§3.2 shared rules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Unchanged. Title and non-empty collection retained.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§3.2 “must carry a type”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Removed. An absent type is valid where the renderer defines a default.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§3.2 “required fields per type”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Retained, but conditional on a type being present and declaring them.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§3.2 delegation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New. Depth beyond the structural rules belongs to the renderer.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§4 (new)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The deployed contract, extracted from the renderers.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CONN-GUARD-001 Amendment 1</dc:title>
  <dc:creator>Tenax Intelligence Platform</dc:creator>
  <cp:lastModifiedBy>Un-named</cp:lastModifiedBy>
  <cp:revision>1</cp:revision>
  <dcterms:created xsi:type="dcterms:W3CDTF">2026-08-15T22:14:56.893Z</dcterms:created>
  <dcterms:modified xsi:type="dcterms:W3CDTF">2026-08-15T22:14:56.908Z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