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Calibri" w:hAnsi="Calibri"/>
          <w:b/>
          <w:color w:val="0B2545"/>
          <w:sz w:val="52"/>
        </w:rPr>
        <w:t>Toy Object Parameters Guide</w:t>
      </w:r>
    </w:p>
    <w:p>
      <w:pPr>
        <w:spacing w:after="240"/>
      </w:pPr>
      <w:r>
        <w:rPr>
          <w:color w:val="555555"/>
          <w:sz w:val="24"/>
        </w:rPr>
        <w:t>Plain-language reference for the Interactive Object Recovery tool</w:t>
      </w:r>
    </w:p>
    <w:p>
      <w:pPr>
        <w:spacing w:after="280"/>
      </w:pPr>
      <w:r>
        <w:rPr>
          <w:b/>
        </w:rPr>
        <w:t xml:space="preserve">Source: </w:t>
      </w:r>
      <w:r>
        <w:t>Foreground Masking/interactive object recovery.py</w:t>
      </w:r>
    </w:p>
    <w:tbl>
      <w:tblPr>
        <w:tblW w:type="auto" w:w="0"/>
        <w:jc w:val="left"/>
        <w:tblLayout w:type="fixed"/>
        <w:tblLook w:firstColumn="1" w:firstRow="1" w:lastColumn="0" w:lastRow="0" w:noHBand="0" w:noVBand="1" w:val="04A0"/>
      </w:tblPr>
      <w:tblGrid>
        <w:gridCol w:w="9360"/>
      </w:tblGrid>
      <w:tr>
        <w:trPr>
          <w:cantSplit/>
          <w:tblHeader/>
        </w:trPr>
        <w:tc>
          <w:tcPr>
            <w:tcW w:type="dxa" w:w="9360"/>
            <w:vAlign w:val="center"/>
            <w:tcMar>
              <w:top w:w="80" w:type="dxa"/>
              <w:start w:w="120" w:type="dxa"/>
              <w:bottom w:w="80" w:type="dxa"/>
              <w:end w:w="120" w:type="dxa"/>
            </w:tcMar>
            <w:shd w:fill="F4F6F9"/>
          </w:tcPr>
          <w:p>
            <w:pPr>
              <w:spacing w:after="0"/>
            </w:pPr>
            <w:r>
              <w:rPr>
                <w:b/>
                <w:color w:val="1F3A5F"/>
              </w:rPr>
              <w:t xml:space="preserve">Short answer: </w:t>
            </w:r>
            <w:r>
              <w:t>No. The UI displays all Toy object controls for every type, but the code only uses some controls for some object profiles. Location, brightness, FWHM, and truth dilation apply broadly. Moffat beta applies only to Moffat star. Axis ratio and object PA apply only to Compact galaxy.</w:t>
            </w:r>
          </w:p>
        </w:tc>
      </w:tr>
    </w:tbl>
    <w:p/>
    <w:p>
      <w:pPr>
        <w:pStyle w:val="Heading1"/>
      </w:pPr>
      <w:r>
        <w:t>Object Types</w:t>
      </w:r>
    </w:p>
    <w:tbl>
      <w:tblPr>
        <w:tblW w:type="auto" w:w="0"/>
        <w:jc w:val="left"/>
        <w:tblLayout w:type="fixed"/>
        <w:tblLook w:firstColumn="1" w:firstRow="1" w:lastColumn="0" w:lastRow="0" w:noHBand="0" w:noVBand="1" w:val="04A0"/>
      </w:tblPr>
      <w:tblGrid>
        <w:gridCol w:w="2340"/>
        <w:gridCol w:w="2340"/>
        <w:gridCol w:w="2340"/>
        <w:gridCol w:w="2340"/>
      </w:tblGrid>
      <w:tr>
        <w:trPr>
          <w:cantSplit/>
          <w:tblHeader/>
        </w:trPr>
        <w:tc>
          <w:tcPr>
            <w:tcW w:type="dxa" w:w="1800"/>
            <w:vAlign w:val="center"/>
            <w:tcMar>
              <w:top w:w="80" w:type="dxa"/>
              <w:start w:w="120" w:type="dxa"/>
              <w:bottom w:w="80" w:type="dxa"/>
              <w:end w:w="120" w:type="dxa"/>
            </w:tcMar>
            <w:shd w:fill="E8EEF5"/>
          </w:tcPr>
          <w:p>
            <w:pPr>
              <w:spacing w:after="0"/>
            </w:pPr>
            <w:r>
              <w:rPr>
                <w:rFonts w:ascii="Calibri" w:hAnsi="Calibri"/>
                <w:b/>
                <w:color w:val="1F4D78"/>
                <w:sz w:val="19"/>
              </w:rPr>
              <w:t>Type</w:t>
            </w:r>
          </w:p>
        </w:tc>
        <w:tc>
          <w:tcPr>
            <w:tcW w:type="dxa" w:w="2520"/>
            <w:vAlign w:val="center"/>
            <w:tcMar>
              <w:top w:w="80" w:type="dxa"/>
              <w:start w:w="120" w:type="dxa"/>
              <w:bottom w:w="80" w:type="dxa"/>
              <w:end w:w="120" w:type="dxa"/>
            </w:tcMar>
            <w:shd w:fill="E8EEF5"/>
          </w:tcPr>
          <w:p>
            <w:pPr>
              <w:spacing w:after="0"/>
            </w:pPr>
            <w:r>
              <w:rPr>
                <w:rFonts w:ascii="Calibri" w:hAnsi="Calibri"/>
                <w:b/>
                <w:color w:val="1F4D78"/>
                <w:sz w:val="19"/>
              </w:rPr>
              <w:t>Profile used</w:t>
            </w:r>
          </w:p>
        </w:tc>
        <w:tc>
          <w:tcPr>
            <w:tcW w:type="dxa" w:w="2448"/>
            <w:vAlign w:val="center"/>
            <w:tcMar>
              <w:top w:w="80" w:type="dxa"/>
              <w:start w:w="120" w:type="dxa"/>
              <w:bottom w:w="80" w:type="dxa"/>
              <w:end w:w="120" w:type="dxa"/>
            </w:tcMar>
            <w:shd w:fill="E8EEF5"/>
          </w:tcPr>
          <w:p>
            <w:pPr>
              <w:spacing w:after="0"/>
            </w:pPr>
            <w:r>
              <w:rPr>
                <w:rFonts w:ascii="Calibri" w:hAnsi="Calibri"/>
                <w:b/>
                <w:color w:val="1F4D78"/>
                <w:sz w:val="19"/>
              </w:rPr>
              <w:t>Best interpreted as</w:t>
            </w:r>
          </w:p>
        </w:tc>
        <w:tc>
          <w:tcPr>
            <w:tcW w:type="dxa" w:w="2592"/>
            <w:vAlign w:val="center"/>
            <w:tcMar>
              <w:top w:w="80" w:type="dxa"/>
              <w:start w:w="120" w:type="dxa"/>
              <w:bottom w:w="80" w:type="dxa"/>
              <w:end w:w="120" w:type="dxa"/>
            </w:tcMar>
            <w:shd w:fill="E8EEF5"/>
          </w:tcPr>
          <w:p>
            <w:pPr>
              <w:spacing w:after="0"/>
            </w:pPr>
            <w:r>
              <w:rPr>
                <w:rFonts w:ascii="Calibri" w:hAnsi="Calibri"/>
                <w:b/>
                <w:color w:val="1F4D78"/>
                <w:sz w:val="19"/>
              </w:rPr>
              <w:t>Important notes</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Gaussian star</w:t>
            </w:r>
          </w:p>
        </w:tc>
        <w:tc>
          <w:tcPr>
            <w:tcW w:type="dxa" w:w="2520"/>
            <w:vAlign w:val="center"/>
            <w:tcMar>
              <w:top w:w="80" w:type="dxa"/>
              <w:start w:w="120" w:type="dxa"/>
              <w:bottom w:w="80" w:type="dxa"/>
              <w:end w:w="120" w:type="dxa"/>
            </w:tcMar>
          </w:tcPr>
          <w:p>
            <w:pPr>
              <w:spacing w:after="0"/>
            </w:pPr>
            <w:r>
              <w:rPr>
                <w:rFonts w:ascii="Calibri" w:hAnsi="Calibri"/>
                <w:sz w:val="19"/>
              </w:rPr>
              <w:t>Single circular 2D Gaussian profile.</w:t>
            </w:r>
          </w:p>
        </w:tc>
        <w:tc>
          <w:tcPr>
            <w:tcW w:type="dxa" w:w="2448"/>
            <w:vAlign w:val="center"/>
            <w:tcMar>
              <w:top w:w="80" w:type="dxa"/>
              <w:start w:w="120" w:type="dxa"/>
              <w:bottom w:w="80" w:type="dxa"/>
              <w:end w:w="120" w:type="dxa"/>
            </w:tcMar>
          </w:tcPr>
          <w:p>
            <w:pPr>
              <w:spacing w:after="0"/>
            </w:pPr>
            <w:r>
              <w:rPr>
                <w:rFonts w:ascii="Calibri" w:hAnsi="Calibri"/>
                <w:sz w:val="19"/>
              </w:rPr>
              <w:t>A compact source with a smooth, symmetric PSF-like core.</w:t>
            </w:r>
          </w:p>
        </w:tc>
        <w:tc>
          <w:tcPr>
            <w:tcW w:type="dxa" w:w="2592"/>
            <w:vAlign w:val="center"/>
            <w:tcMar>
              <w:top w:w="80" w:type="dxa"/>
              <w:start w:w="120" w:type="dxa"/>
              <w:bottom w:w="80" w:type="dxa"/>
              <w:end w:w="120" w:type="dxa"/>
            </w:tcMar>
          </w:tcPr>
          <w:p>
            <w:pPr>
              <w:spacing w:after="0"/>
            </w:pPr>
            <w:r>
              <w:rPr>
                <w:rFonts w:ascii="Calibri" w:hAnsi="Calibri"/>
                <w:sz w:val="19"/>
              </w:rPr>
              <w:t>Uses FWHM to set Gaussian sigma. Ignores axis ratio, object PA, and Moffat beta.</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Moffat star</w:t>
            </w:r>
          </w:p>
        </w:tc>
        <w:tc>
          <w:tcPr>
            <w:tcW w:type="dxa" w:w="2520"/>
            <w:vAlign w:val="center"/>
            <w:tcMar>
              <w:top w:w="80" w:type="dxa"/>
              <w:start w:w="120" w:type="dxa"/>
              <w:bottom w:w="80" w:type="dxa"/>
              <w:end w:w="120" w:type="dxa"/>
            </w:tcMar>
          </w:tcPr>
          <w:p>
            <w:pPr>
              <w:spacing w:after="0"/>
            </w:pPr>
            <w:r>
              <w:rPr>
                <w:rFonts w:ascii="Calibri" w:hAnsi="Calibri"/>
                <w:sz w:val="19"/>
              </w:rPr>
              <w:t>Circular Moffat profile with broader wings than a Gaussian.</w:t>
            </w:r>
          </w:p>
        </w:tc>
        <w:tc>
          <w:tcPr>
            <w:tcW w:type="dxa" w:w="2448"/>
            <w:vAlign w:val="center"/>
            <w:tcMar>
              <w:top w:w="80" w:type="dxa"/>
              <w:start w:w="120" w:type="dxa"/>
              <w:bottom w:w="80" w:type="dxa"/>
              <w:end w:w="120" w:type="dxa"/>
            </w:tcMar>
          </w:tcPr>
          <w:p>
            <w:pPr>
              <w:spacing w:after="0"/>
            </w:pPr>
            <w:r>
              <w:rPr>
                <w:rFonts w:ascii="Calibri" w:hAnsi="Calibri"/>
                <w:sz w:val="19"/>
              </w:rPr>
              <w:t>A star or PSF-like object where extended wings matter.</w:t>
            </w:r>
          </w:p>
        </w:tc>
        <w:tc>
          <w:tcPr>
            <w:tcW w:type="dxa" w:w="2592"/>
            <w:vAlign w:val="center"/>
            <w:tcMar>
              <w:top w:w="80" w:type="dxa"/>
              <w:start w:w="120" w:type="dxa"/>
              <w:bottom w:w="80" w:type="dxa"/>
              <w:end w:w="120" w:type="dxa"/>
            </w:tcMar>
          </w:tcPr>
          <w:p>
            <w:pPr>
              <w:spacing w:after="0"/>
            </w:pPr>
            <w:r>
              <w:rPr>
                <w:rFonts w:ascii="Calibri" w:hAnsi="Calibri"/>
                <w:sz w:val="19"/>
              </w:rPr>
              <w:t>Uses FWHM and Moffat beta. Ignores axis ratio and object PA.</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Star cluster</w:t>
            </w:r>
          </w:p>
        </w:tc>
        <w:tc>
          <w:tcPr>
            <w:tcW w:type="dxa" w:w="2520"/>
            <w:vAlign w:val="center"/>
            <w:tcMar>
              <w:top w:w="80" w:type="dxa"/>
              <w:start w:w="120" w:type="dxa"/>
              <w:bottom w:w="80" w:type="dxa"/>
              <w:end w:w="120" w:type="dxa"/>
            </w:tcMar>
          </w:tcPr>
          <w:p>
            <w:pPr>
              <w:spacing w:after="0"/>
            </w:pPr>
            <w:r>
              <w:rPr>
                <w:rFonts w:ascii="Calibri" w:hAnsi="Calibri"/>
                <w:sz w:val="19"/>
              </w:rPr>
              <w:t>Blend of three offset circular Gaussian components.</w:t>
            </w:r>
          </w:p>
        </w:tc>
        <w:tc>
          <w:tcPr>
            <w:tcW w:type="dxa" w:w="2448"/>
            <w:vAlign w:val="center"/>
            <w:tcMar>
              <w:top w:w="80" w:type="dxa"/>
              <w:start w:w="120" w:type="dxa"/>
              <w:bottom w:w="80" w:type="dxa"/>
              <w:end w:w="120" w:type="dxa"/>
            </w:tcMar>
          </w:tcPr>
          <w:p>
            <w:pPr>
              <w:spacing w:after="0"/>
            </w:pPr>
            <w:r>
              <w:rPr>
                <w:rFonts w:ascii="Calibri" w:hAnsi="Calibri"/>
                <w:sz w:val="19"/>
              </w:rPr>
              <w:t>A small unresolved or barely resolved clump rather than a single isolated star.</w:t>
            </w:r>
          </w:p>
        </w:tc>
        <w:tc>
          <w:tcPr>
            <w:tcW w:type="dxa" w:w="2592"/>
            <w:vAlign w:val="center"/>
            <w:tcMar>
              <w:top w:w="80" w:type="dxa"/>
              <w:start w:w="120" w:type="dxa"/>
              <w:bottom w:w="80" w:type="dxa"/>
              <w:end w:w="120" w:type="dxa"/>
            </w:tcMar>
          </w:tcPr>
          <w:p>
            <w:pPr>
              <w:spacing w:after="0"/>
            </w:pPr>
            <w:r>
              <w:rPr>
                <w:rFonts w:ascii="Calibri" w:hAnsi="Calibri"/>
                <w:sz w:val="19"/>
              </w:rPr>
              <w:t>Uses FWHM as the scale for all component offsets and widths. Ignores axis ratio, object PA, and Moffat beta.</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Compact galaxy</w:t>
            </w:r>
          </w:p>
        </w:tc>
        <w:tc>
          <w:tcPr>
            <w:tcW w:type="dxa" w:w="2520"/>
            <w:vAlign w:val="center"/>
            <w:tcMar>
              <w:top w:w="80" w:type="dxa"/>
              <w:start w:w="120" w:type="dxa"/>
              <w:bottom w:w="80" w:type="dxa"/>
              <w:end w:w="120" w:type="dxa"/>
            </w:tcMar>
          </w:tcPr>
          <w:p>
            <w:pPr>
              <w:spacing w:after="0"/>
            </w:pPr>
            <w:r>
              <w:rPr>
                <w:rFonts w:ascii="Calibri" w:hAnsi="Calibri"/>
                <w:sz w:val="19"/>
              </w:rPr>
              <w:t>Single elliptical Gaussian profile.</w:t>
            </w:r>
          </w:p>
        </w:tc>
        <w:tc>
          <w:tcPr>
            <w:tcW w:type="dxa" w:w="2448"/>
            <w:vAlign w:val="center"/>
            <w:tcMar>
              <w:top w:w="80" w:type="dxa"/>
              <w:start w:w="120" w:type="dxa"/>
              <w:bottom w:w="80" w:type="dxa"/>
              <w:end w:w="120" w:type="dxa"/>
            </w:tcMar>
          </w:tcPr>
          <w:p>
            <w:pPr>
              <w:spacing w:after="0"/>
            </w:pPr>
            <w:r>
              <w:rPr>
                <w:rFonts w:ascii="Calibri" w:hAnsi="Calibri"/>
                <w:sz w:val="19"/>
              </w:rPr>
              <w:t>A small galaxy-like contaminant with an elongated shape.</w:t>
            </w:r>
          </w:p>
        </w:tc>
        <w:tc>
          <w:tcPr>
            <w:tcW w:type="dxa" w:w="2592"/>
            <w:vAlign w:val="center"/>
            <w:tcMar>
              <w:top w:w="80" w:type="dxa"/>
              <w:start w:w="120" w:type="dxa"/>
              <w:bottom w:w="80" w:type="dxa"/>
              <w:end w:w="120" w:type="dxa"/>
            </w:tcMar>
          </w:tcPr>
          <w:p>
            <w:pPr>
              <w:spacing w:after="0"/>
            </w:pPr>
            <w:r>
              <w:rPr>
                <w:rFonts w:ascii="Calibri" w:hAnsi="Calibri"/>
                <w:sz w:val="19"/>
              </w:rPr>
              <w:t>Uses FWHM, axis ratio, and object PA. Ignores Moffat beta.</w:t>
            </w:r>
          </w:p>
        </w:tc>
      </w:tr>
    </w:tbl>
    <w:p>
      <w:r>
        <w:br w:type="page"/>
      </w:r>
    </w:p>
    <w:p>
      <w:pPr>
        <w:pStyle w:val="Heading1"/>
      </w:pPr>
      <w:r>
        <w:t>Parameter Glossary</w:t>
      </w:r>
    </w:p>
    <w:tbl>
      <w:tblPr>
        <w:tblW w:type="auto" w:w="0"/>
        <w:jc w:val="left"/>
        <w:tblLayout w:type="fixed"/>
        <w:tblLook w:firstColumn="1" w:firstRow="1" w:lastColumn="0" w:lastRow="0" w:noHBand="0" w:noVBand="1" w:val="04A0"/>
      </w:tblPr>
      <w:tblGrid>
        <w:gridCol w:w="2340"/>
        <w:gridCol w:w="2340"/>
        <w:gridCol w:w="2340"/>
        <w:gridCol w:w="2340"/>
      </w:tblGrid>
      <w:tr>
        <w:trPr>
          <w:cantSplit/>
          <w:tblHeader/>
        </w:trPr>
        <w:tc>
          <w:tcPr>
            <w:tcW w:type="dxa" w:w="1800"/>
            <w:vAlign w:val="center"/>
            <w:tcMar>
              <w:top w:w="80" w:type="dxa"/>
              <w:start w:w="120" w:type="dxa"/>
              <w:bottom w:w="80" w:type="dxa"/>
              <w:end w:w="120" w:type="dxa"/>
            </w:tcMar>
            <w:shd w:fill="E8EEF5"/>
          </w:tcPr>
          <w:p>
            <w:pPr>
              <w:spacing w:after="0"/>
            </w:pPr>
            <w:r>
              <w:rPr>
                <w:rFonts w:ascii="Calibri" w:hAnsi="Calibri"/>
                <w:b/>
                <w:color w:val="1F4D78"/>
                <w:sz w:val="19"/>
              </w:rPr>
              <w:t>Parameter</w:t>
            </w:r>
          </w:p>
        </w:tc>
        <w:tc>
          <w:tcPr>
            <w:tcW w:type="dxa" w:w="3024"/>
            <w:vAlign w:val="center"/>
            <w:tcMar>
              <w:top w:w="80" w:type="dxa"/>
              <w:start w:w="120" w:type="dxa"/>
              <w:bottom w:w="80" w:type="dxa"/>
              <w:end w:w="120" w:type="dxa"/>
            </w:tcMar>
            <w:shd w:fill="E8EEF5"/>
          </w:tcPr>
          <w:p>
            <w:pPr>
              <w:spacing w:after="0"/>
            </w:pPr>
            <w:r>
              <w:rPr>
                <w:rFonts w:ascii="Calibri" w:hAnsi="Calibri"/>
                <w:b/>
                <w:color w:val="1F4D78"/>
                <w:sz w:val="19"/>
              </w:rPr>
              <w:t>Meaning</w:t>
            </w:r>
          </w:p>
        </w:tc>
        <w:tc>
          <w:tcPr>
            <w:tcW w:type="dxa" w:w="1944"/>
            <w:vAlign w:val="center"/>
            <w:tcMar>
              <w:top w:w="80" w:type="dxa"/>
              <w:start w:w="120" w:type="dxa"/>
              <w:bottom w:w="80" w:type="dxa"/>
              <w:end w:w="120" w:type="dxa"/>
            </w:tcMar>
            <w:shd w:fill="E8EEF5"/>
          </w:tcPr>
          <w:p>
            <w:pPr>
              <w:spacing w:after="0"/>
            </w:pPr>
            <w:r>
              <w:rPr>
                <w:rFonts w:ascii="Calibri" w:hAnsi="Calibri"/>
                <w:b/>
                <w:color w:val="1F4D78"/>
                <w:sz w:val="19"/>
              </w:rPr>
              <w:t>Applies to</w:t>
            </w:r>
          </w:p>
        </w:tc>
        <w:tc>
          <w:tcPr>
            <w:tcW w:type="dxa" w:w="2592"/>
            <w:vAlign w:val="center"/>
            <w:tcMar>
              <w:top w:w="80" w:type="dxa"/>
              <w:start w:w="120" w:type="dxa"/>
              <w:bottom w:w="80" w:type="dxa"/>
              <w:end w:w="120" w:type="dxa"/>
            </w:tcMar>
            <w:shd w:fill="E8EEF5"/>
          </w:tcPr>
          <w:p>
            <w:pPr>
              <w:spacing w:after="0"/>
            </w:pPr>
            <w:r>
              <w:rPr>
                <w:rFonts w:ascii="Calibri" w:hAnsi="Calibri"/>
                <w:b/>
                <w:color w:val="1F4D78"/>
                <w:sz w:val="19"/>
              </w:rPr>
              <w:t>Practical note</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Type</w:t>
            </w:r>
          </w:p>
        </w:tc>
        <w:tc>
          <w:tcPr>
            <w:tcW w:type="dxa" w:w="3024"/>
            <w:vAlign w:val="center"/>
            <w:tcMar>
              <w:top w:w="80" w:type="dxa"/>
              <w:start w:w="120" w:type="dxa"/>
              <w:bottom w:w="80" w:type="dxa"/>
              <w:end w:w="120" w:type="dxa"/>
            </w:tcMar>
          </w:tcPr>
          <w:p>
            <w:pPr>
              <w:spacing w:after="0"/>
            </w:pPr>
            <w:r>
              <w:rPr>
                <w:rFonts w:ascii="Calibri" w:hAnsi="Calibri"/>
                <w:sz w:val="19"/>
              </w:rPr>
              <w:t>Chooses the mathematical profile used to generate the injected Toy object.</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The internal values are gaussian, moffat, cluster, and galaxy.</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Brightness</w:t>
            </w:r>
          </w:p>
        </w:tc>
        <w:tc>
          <w:tcPr>
            <w:tcW w:type="dxa" w:w="3024"/>
            <w:vAlign w:val="center"/>
            <w:tcMar>
              <w:top w:w="80" w:type="dxa"/>
              <w:start w:w="120" w:type="dxa"/>
              <w:bottom w:w="80" w:type="dxa"/>
              <w:end w:w="120" w:type="dxa"/>
            </w:tcMar>
          </w:tcPr>
          <w:p>
            <w:pPr>
              <w:spacing w:after="0"/>
            </w:pPr>
            <w:r>
              <w:rPr>
                <w:rFonts w:ascii="Calibri" w:hAnsi="Calibri"/>
                <w:sz w:val="19"/>
              </w:rPr>
              <w:t>Chooses how the object brightness is set: either by peak residual sigma or by integrated magnitude.</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Peak residual sigma is usually the simpler test mode. Integrated magnitude is useful when the FITS photometric calibration is valid.</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x deproj [arcsec], y deproj [arcsec]</w:t>
            </w:r>
          </w:p>
        </w:tc>
        <w:tc>
          <w:tcPr>
            <w:tcW w:type="dxa" w:w="3024"/>
            <w:vAlign w:val="center"/>
            <w:tcMar>
              <w:top w:w="80" w:type="dxa"/>
              <w:start w:w="120" w:type="dxa"/>
              <w:bottom w:w="80" w:type="dxa"/>
              <w:end w:w="120" w:type="dxa"/>
            </w:tcMar>
          </w:tcPr>
          <w:p>
            <w:pPr>
              <w:spacing w:after="0"/>
            </w:pPr>
            <w:r>
              <w:rPr>
                <w:rFonts w:ascii="Calibri" w:hAnsi="Calibri"/>
                <w:sz w:val="19"/>
              </w:rPr>
              <w:t>Position of the Toy object in the deprojected, bar-aligned coordinate system.</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The code converts this deprojected position back to observed image pixels before injecting the model.</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peak [resid sigma]</w:t>
            </w:r>
          </w:p>
        </w:tc>
        <w:tc>
          <w:tcPr>
            <w:tcW w:type="dxa" w:w="3024"/>
            <w:vAlign w:val="center"/>
            <w:tcMar>
              <w:top w:w="80" w:type="dxa"/>
              <w:start w:w="120" w:type="dxa"/>
              <w:bottom w:w="80" w:type="dxa"/>
              <w:end w:w="120" w:type="dxa"/>
            </w:tcMar>
          </w:tcPr>
          <w:p>
            <w:pPr>
              <w:spacing w:after="0"/>
            </w:pPr>
            <w:r>
              <w:rPr>
                <w:rFonts w:ascii="Calibri" w:hAnsi="Calibri"/>
                <w:sz w:val="19"/>
              </w:rPr>
              <w:t>Peak brightness expressed as a multiple of the robust residual-image noise.</w:t>
            </w:r>
          </w:p>
        </w:tc>
        <w:tc>
          <w:tcPr>
            <w:tcW w:type="dxa" w:w="1944"/>
            <w:vAlign w:val="center"/>
            <w:tcMar>
              <w:top w:w="80" w:type="dxa"/>
              <w:start w:w="120" w:type="dxa"/>
              <w:bottom w:w="80" w:type="dxa"/>
              <w:end w:w="120" w:type="dxa"/>
            </w:tcMar>
          </w:tcPr>
          <w:p>
            <w:pPr>
              <w:spacing w:after="0"/>
            </w:pPr>
            <w:r>
              <w:rPr>
                <w:rFonts w:ascii="Calibri" w:hAnsi="Calibri"/>
                <w:sz w:val="19"/>
              </w:rPr>
              <w:t>All types, when Brightness is Peak residual sigma</w:t>
            </w:r>
          </w:p>
        </w:tc>
        <w:tc>
          <w:tcPr>
            <w:tcW w:type="dxa" w:w="2592"/>
            <w:vAlign w:val="center"/>
            <w:tcMar>
              <w:top w:w="80" w:type="dxa"/>
              <w:start w:w="120" w:type="dxa"/>
              <w:bottom w:w="80" w:type="dxa"/>
              <w:end w:w="120" w:type="dxa"/>
            </w:tcMar>
          </w:tcPr>
          <w:p>
            <w:pPr>
              <w:spacing w:after="0"/>
            </w:pPr>
            <w:r>
              <w:rPr>
                <w:rFonts w:ascii="Calibri" w:hAnsi="Calibri"/>
                <w:sz w:val="19"/>
              </w:rPr>
              <w:t>Example: 30 means the model peak is 30 times the robust residual sigma.</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integrated mag</w:t>
            </w:r>
          </w:p>
        </w:tc>
        <w:tc>
          <w:tcPr>
            <w:tcW w:type="dxa" w:w="3024"/>
            <w:vAlign w:val="center"/>
            <w:tcMar>
              <w:top w:w="80" w:type="dxa"/>
              <w:start w:w="120" w:type="dxa"/>
              <w:bottom w:w="80" w:type="dxa"/>
              <w:end w:w="120" w:type="dxa"/>
            </w:tcMar>
          </w:tcPr>
          <w:p>
            <w:pPr>
              <w:spacing w:after="0"/>
            </w:pPr>
            <w:r>
              <w:rPr>
                <w:rFonts w:ascii="Calibri" w:hAnsi="Calibri"/>
                <w:sz w:val="19"/>
              </w:rPr>
              <w:t>Target total magnitude for the whole injected object, not just the central pixel.</w:t>
            </w:r>
          </w:p>
        </w:tc>
        <w:tc>
          <w:tcPr>
            <w:tcW w:type="dxa" w:w="1944"/>
            <w:vAlign w:val="center"/>
            <w:tcMar>
              <w:top w:w="80" w:type="dxa"/>
              <w:start w:w="120" w:type="dxa"/>
              <w:bottom w:w="80" w:type="dxa"/>
              <w:end w:w="120" w:type="dxa"/>
            </w:tcMar>
          </w:tcPr>
          <w:p>
            <w:pPr>
              <w:spacing w:after="0"/>
            </w:pPr>
            <w:r>
              <w:rPr>
                <w:rFonts w:ascii="Calibri" w:hAnsi="Calibri"/>
                <w:sz w:val="19"/>
              </w:rPr>
              <w:t>All types, when Brightness is Integrated magnitude</w:t>
            </w:r>
          </w:p>
        </w:tc>
        <w:tc>
          <w:tcPr>
            <w:tcW w:type="dxa" w:w="2592"/>
            <w:vAlign w:val="center"/>
            <w:tcMar>
              <w:top w:w="80" w:type="dxa"/>
              <w:start w:w="120" w:type="dxa"/>
              <w:bottom w:w="80" w:type="dxa"/>
              <w:end w:w="120" w:type="dxa"/>
            </w:tcMar>
          </w:tcPr>
          <w:p>
            <w:pPr>
              <w:spacing w:after="0"/>
            </w:pPr>
            <w:r>
              <w:rPr>
                <w:rFonts w:ascii="Calibri" w:hAnsi="Calibri"/>
                <w:sz w:val="19"/>
              </w:rPr>
              <w:t>The code scales a unit-peak model so its integrated flux matches this magnitude.</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zero flux [Jy]</w:t>
            </w:r>
          </w:p>
        </w:tc>
        <w:tc>
          <w:tcPr>
            <w:tcW w:type="dxa" w:w="3024"/>
            <w:vAlign w:val="center"/>
            <w:tcMar>
              <w:top w:w="80" w:type="dxa"/>
              <w:start w:w="120" w:type="dxa"/>
              <w:bottom w:w="80" w:type="dxa"/>
              <w:end w:w="120" w:type="dxa"/>
            </w:tcMar>
          </w:tcPr>
          <w:p>
            <w:pPr>
              <w:spacing w:after="0"/>
            </w:pPr>
            <w:r>
              <w:rPr>
                <w:rFonts w:ascii="Calibri" w:hAnsi="Calibri"/>
                <w:sz w:val="19"/>
              </w:rPr>
              <w:t>Flux density of a zero-magnitude source, in Jansky.</w:t>
            </w:r>
          </w:p>
        </w:tc>
        <w:tc>
          <w:tcPr>
            <w:tcW w:type="dxa" w:w="1944"/>
            <w:vAlign w:val="center"/>
            <w:tcMar>
              <w:top w:w="80" w:type="dxa"/>
              <w:start w:w="120" w:type="dxa"/>
              <w:bottom w:w="80" w:type="dxa"/>
              <w:end w:w="120" w:type="dxa"/>
            </w:tcMar>
          </w:tcPr>
          <w:p>
            <w:pPr>
              <w:spacing w:after="0"/>
            </w:pPr>
            <w:r>
              <w:rPr>
                <w:rFonts w:ascii="Calibri" w:hAnsi="Calibri"/>
                <w:sz w:val="19"/>
              </w:rPr>
              <w:t>Magnitude mode</w:t>
            </w:r>
          </w:p>
        </w:tc>
        <w:tc>
          <w:tcPr>
            <w:tcW w:type="dxa" w:w="2592"/>
            <w:vAlign w:val="center"/>
            <w:tcMar>
              <w:top w:w="80" w:type="dxa"/>
              <w:start w:w="120" w:type="dxa"/>
              <w:bottom w:w="80" w:type="dxa"/>
              <w:end w:w="120" w:type="dxa"/>
            </w:tcMar>
          </w:tcPr>
          <w:p>
            <w:pPr>
              <w:spacing w:after="0"/>
            </w:pPr>
            <w:r>
              <w:rPr>
                <w:rFonts w:ascii="Calibri" w:hAnsi="Calibri"/>
                <w:sz w:val="19"/>
              </w:rPr>
              <w:t>The default 280.9 Jy is appropriate for Spitzer/IRAC 3.6 micron Vega magnitudes. Change it for another band or magnitude system.</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FWHM [arcsec]</w:t>
            </w:r>
          </w:p>
        </w:tc>
        <w:tc>
          <w:tcPr>
            <w:tcW w:type="dxa" w:w="3024"/>
            <w:vAlign w:val="center"/>
            <w:tcMar>
              <w:top w:w="80" w:type="dxa"/>
              <w:start w:w="120" w:type="dxa"/>
              <w:bottom w:w="80" w:type="dxa"/>
              <w:end w:w="120" w:type="dxa"/>
            </w:tcMar>
          </w:tcPr>
          <w:p>
            <w:pPr>
              <w:spacing w:after="0"/>
            </w:pPr>
            <w:r>
              <w:rPr>
                <w:rFonts w:ascii="Calibri" w:hAnsi="Calibri"/>
                <w:sz w:val="19"/>
              </w:rPr>
              <w:t>Full width at half maximum: the diameter across the profile where the brightness has fallen to half the peak.</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Converted to pixels using the galaxy pixel scale. For Gaussian profiles, sigma = FWHM / 2.3548.</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axis ratio</w:t>
            </w:r>
          </w:p>
        </w:tc>
        <w:tc>
          <w:tcPr>
            <w:tcW w:type="dxa" w:w="3024"/>
            <w:vAlign w:val="center"/>
            <w:tcMar>
              <w:top w:w="80" w:type="dxa"/>
              <w:start w:w="120" w:type="dxa"/>
              <w:bottom w:w="80" w:type="dxa"/>
              <w:end w:w="120" w:type="dxa"/>
            </w:tcMar>
          </w:tcPr>
          <w:p>
            <w:pPr>
              <w:spacing w:after="0"/>
            </w:pPr>
            <w:r>
              <w:rPr>
                <w:rFonts w:ascii="Calibri" w:hAnsi="Calibri"/>
                <w:sz w:val="19"/>
              </w:rPr>
              <w:t>Minor-axis width divided by major-axis width. A value of 1.0 is circular; smaller values are more elongated.</w:t>
            </w:r>
          </w:p>
        </w:tc>
        <w:tc>
          <w:tcPr>
            <w:tcW w:type="dxa" w:w="1944"/>
            <w:vAlign w:val="center"/>
            <w:tcMar>
              <w:top w:w="80" w:type="dxa"/>
              <w:start w:w="120" w:type="dxa"/>
              <w:bottom w:w="80" w:type="dxa"/>
              <w:end w:w="120" w:type="dxa"/>
            </w:tcMar>
          </w:tcPr>
          <w:p>
            <w:pPr>
              <w:spacing w:after="0"/>
            </w:pPr>
            <w:r>
              <w:rPr>
                <w:rFonts w:ascii="Calibri" w:hAnsi="Calibri"/>
                <w:sz w:val="19"/>
              </w:rPr>
              <w:t>Compact galaxy only</w:t>
            </w:r>
          </w:p>
        </w:tc>
        <w:tc>
          <w:tcPr>
            <w:tcW w:type="dxa" w:w="2592"/>
            <w:vAlign w:val="center"/>
            <w:tcMar>
              <w:top w:w="80" w:type="dxa"/>
              <w:start w:w="120" w:type="dxa"/>
              <w:bottom w:w="80" w:type="dxa"/>
              <w:end w:w="120" w:type="dxa"/>
            </w:tcMar>
          </w:tcPr>
          <w:p>
            <w:pPr>
              <w:spacing w:after="0"/>
            </w:pPr>
            <w:r>
              <w:rPr>
                <w:rFonts w:ascii="Calibri" w:hAnsi="Calibri"/>
                <w:sz w:val="19"/>
              </w:rPr>
              <w:t>In the current code, Gaussian star, Moffat star, and Star cluster are circular and ignore this value.</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object PA [deg]</w:t>
            </w:r>
          </w:p>
        </w:tc>
        <w:tc>
          <w:tcPr>
            <w:tcW w:type="dxa" w:w="3024"/>
            <w:vAlign w:val="center"/>
            <w:tcMar>
              <w:top w:w="80" w:type="dxa"/>
              <w:start w:w="120" w:type="dxa"/>
              <w:bottom w:w="80" w:type="dxa"/>
              <w:end w:w="120" w:type="dxa"/>
            </w:tcMar>
          </w:tcPr>
          <w:p>
            <w:pPr>
              <w:spacing w:after="0"/>
            </w:pPr>
            <w:r>
              <w:rPr>
                <w:rFonts w:ascii="Calibri" w:hAnsi="Calibri"/>
                <w:sz w:val="19"/>
              </w:rPr>
              <w:t>Position angle of the object's major axis, measured in image-pixel coordinates.</w:t>
            </w:r>
          </w:p>
        </w:tc>
        <w:tc>
          <w:tcPr>
            <w:tcW w:type="dxa" w:w="1944"/>
            <w:vAlign w:val="center"/>
            <w:tcMar>
              <w:top w:w="80" w:type="dxa"/>
              <w:start w:w="120" w:type="dxa"/>
              <w:bottom w:w="80" w:type="dxa"/>
              <w:end w:w="120" w:type="dxa"/>
            </w:tcMar>
          </w:tcPr>
          <w:p>
            <w:pPr>
              <w:spacing w:after="0"/>
            </w:pPr>
            <w:r>
              <w:rPr>
                <w:rFonts w:ascii="Calibri" w:hAnsi="Calibri"/>
                <w:sz w:val="19"/>
              </w:rPr>
              <w:t>Compact galaxy only</w:t>
            </w:r>
          </w:p>
        </w:tc>
        <w:tc>
          <w:tcPr>
            <w:tcW w:type="dxa" w:w="2592"/>
            <w:vAlign w:val="center"/>
            <w:tcMar>
              <w:top w:w="80" w:type="dxa"/>
              <w:start w:w="120" w:type="dxa"/>
              <w:bottom w:w="80" w:type="dxa"/>
              <w:end w:w="120" w:type="dxa"/>
            </w:tcMar>
          </w:tcPr>
          <w:p>
            <w:pPr>
              <w:spacing w:after="0"/>
            </w:pPr>
            <w:r>
              <w:rPr>
                <w:rFonts w:ascii="Calibri" w:hAnsi="Calibri"/>
                <w:sz w:val="19"/>
              </w:rPr>
              <w:t>Only matters when the model is elliptical. It is not used for circular profiles.</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Moffat beta</w:t>
            </w:r>
          </w:p>
        </w:tc>
        <w:tc>
          <w:tcPr>
            <w:tcW w:type="dxa" w:w="3024"/>
            <w:vAlign w:val="center"/>
            <w:tcMar>
              <w:top w:w="80" w:type="dxa"/>
              <w:start w:w="120" w:type="dxa"/>
              <w:bottom w:w="80" w:type="dxa"/>
              <w:end w:w="120" w:type="dxa"/>
            </w:tcMar>
          </w:tcPr>
          <w:p>
            <w:pPr>
              <w:spacing w:after="0"/>
            </w:pPr>
            <w:r>
              <w:rPr>
                <w:rFonts w:ascii="Calibri" w:hAnsi="Calibri"/>
                <w:sz w:val="19"/>
              </w:rPr>
              <w:t>Shape parameter controlling how steeply the Moffat wings fall away from the centre.</w:t>
            </w:r>
          </w:p>
        </w:tc>
        <w:tc>
          <w:tcPr>
            <w:tcW w:type="dxa" w:w="1944"/>
            <w:vAlign w:val="center"/>
            <w:tcMar>
              <w:top w:w="80" w:type="dxa"/>
              <w:start w:w="120" w:type="dxa"/>
              <w:bottom w:w="80" w:type="dxa"/>
              <w:end w:w="120" w:type="dxa"/>
            </w:tcMar>
          </w:tcPr>
          <w:p>
            <w:pPr>
              <w:spacing w:after="0"/>
            </w:pPr>
            <w:r>
              <w:rPr>
                <w:rFonts w:ascii="Calibri" w:hAnsi="Calibri"/>
                <w:sz w:val="19"/>
              </w:rPr>
              <w:t>Moffat star only</w:t>
            </w:r>
          </w:p>
        </w:tc>
        <w:tc>
          <w:tcPr>
            <w:tcW w:type="dxa" w:w="2592"/>
            <w:vAlign w:val="center"/>
            <w:tcMar>
              <w:top w:w="80" w:type="dxa"/>
              <w:start w:w="120" w:type="dxa"/>
              <w:bottom w:w="80" w:type="dxa"/>
              <w:end w:w="120" w:type="dxa"/>
            </w:tcMar>
          </w:tcPr>
          <w:p>
            <w:pPr>
              <w:spacing w:after="0"/>
            </w:pPr>
            <w:r>
              <w:rPr>
                <w:rFonts w:ascii="Calibri" w:hAnsi="Calibri"/>
                <w:sz w:val="19"/>
              </w:rPr>
              <w:t>Lower beta gives broader, heavier wings. Higher beta makes the profile more Gaussian-like and concentrates more light near the core.</w:t>
            </w:r>
          </w:p>
        </w:tc>
      </w:tr>
      <w:tr>
        <w:trPr>
          <w:cantSplit/>
        </w:trPr>
        <w:tc>
          <w:tcPr>
            <w:tcW w:type="dxa" w:w="1800"/>
            <w:vAlign w:val="center"/>
            <w:tcMar>
              <w:top w:w="80" w:type="dxa"/>
              <w:start w:w="120" w:type="dxa"/>
              <w:bottom w:w="80" w:type="dxa"/>
              <w:end w:w="120" w:type="dxa"/>
            </w:tcMar>
          </w:tcPr>
          <w:p>
            <w:pPr>
              <w:spacing w:after="0"/>
            </w:pPr>
            <w:r>
              <w:rPr>
                <w:rFonts w:ascii="Calibri" w:hAnsi="Calibri"/>
                <w:sz w:val="19"/>
              </w:rPr>
              <w:t>truth dilation [px]</w:t>
            </w:r>
          </w:p>
        </w:tc>
        <w:tc>
          <w:tcPr>
            <w:tcW w:type="dxa" w:w="3024"/>
            <w:vAlign w:val="center"/>
            <w:tcMar>
              <w:top w:w="80" w:type="dxa"/>
              <w:start w:w="120" w:type="dxa"/>
              <w:bottom w:w="80" w:type="dxa"/>
              <w:end w:w="120" w:type="dxa"/>
            </w:tcMar>
          </w:tcPr>
          <w:p>
            <w:pPr>
              <w:spacing w:after="0"/>
            </w:pPr>
            <w:r>
              <w:rPr>
                <w:rFonts w:ascii="Calibri" w:hAnsi="Calibri"/>
                <w:sz w:val="19"/>
              </w:rPr>
              <w:t>Extra pixel dilation applied to the truth mask after thresholding the injected model.</w:t>
            </w:r>
          </w:p>
        </w:tc>
        <w:tc>
          <w:tcPr>
            <w:tcW w:type="dxa" w:w="1944"/>
            <w:vAlign w:val="center"/>
            <w:tcMar>
              <w:top w:w="80" w:type="dxa"/>
              <w:start w:w="120" w:type="dxa"/>
              <w:bottom w:w="80" w:type="dxa"/>
              <w:end w:w="120" w:type="dxa"/>
            </w:tcMar>
          </w:tcPr>
          <w:p>
            <w:pPr>
              <w:spacing w:after="0"/>
            </w:pPr>
            <w:r>
              <w:rPr>
                <w:rFonts w:ascii="Calibri" w:hAnsi="Calibri"/>
                <w:sz w:val="19"/>
              </w:rPr>
              <w:t>All types</w:t>
            </w:r>
          </w:p>
        </w:tc>
        <w:tc>
          <w:tcPr>
            <w:tcW w:type="dxa" w:w="2592"/>
            <w:vAlign w:val="center"/>
            <w:tcMar>
              <w:top w:w="80" w:type="dxa"/>
              <w:start w:w="120" w:type="dxa"/>
              <w:bottom w:w="80" w:type="dxa"/>
              <w:end w:w="120" w:type="dxa"/>
            </w:tcMar>
          </w:tcPr>
          <w:p>
            <w:pPr>
              <w:spacing w:after="0"/>
            </w:pPr>
            <w:r>
              <w:rPr>
                <w:rFonts w:ascii="Calibri" w:hAnsi="Calibri"/>
                <w:sz w:val="19"/>
              </w:rPr>
              <w:t>This changes the evaluation mask used for recall/overlap, not the injected object's light profile.</w:t>
            </w:r>
          </w:p>
        </w:tc>
      </w:tr>
    </w:tbl>
    <w:p>
      <w:r>
        <w:br w:type="page"/>
      </w:r>
    </w:p>
    <w:p>
      <w:pPr>
        <w:pStyle w:val="Heading1"/>
      </w:pPr>
      <w:r>
        <w:t>Applicability Matrix</w:t>
      </w:r>
    </w:p>
    <w:tbl>
      <w:tblPr>
        <w:tblW w:type="auto" w:w="0"/>
        <w:jc w:val="left"/>
        <w:tblLayout w:type="fixed"/>
        <w:tblLook w:firstColumn="1" w:firstRow="1" w:lastColumn="0" w:lastRow="0" w:noHBand="0" w:noVBand="1" w:val="04A0"/>
      </w:tblPr>
      <w:tblGrid>
        <w:gridCol w:w="1872"/>
        <w:gridCol w:w="1872"/>
        <w:gridCol w:w="1872"/>
        <w:gridCol w:w="1872"/>
        <w:gridCol w:w="1872"/>
      </w:tblGrid>
      <w:tr>
        <w:trPr>
          <w:cantSplit/>
          <w:tblHeader/>
        </w:trPr>
        <w:tc>
          <w:tcPr>
            <w:tcW w:type="dxa" w:w="2232"/>
            <w:vAlign w:val="center"/>
            <w:tcMar>
              <w:top w:w="80" w:type="dxa"/>
              <w:start w:w="120" w:type="dxa"/>
              <w:bottom w:w="80" w:type="dxa"/>
              <w:end w:w="120" w:type="dxa"/>
            </w:tcMar>
            <w:shd w:fill="E8EEF5"/>
          </w:tcPr>
          <w:p>
            <w:pPr>
              <w:spacing w:after="0"/>
            </w:pPr>
            <w:r>
              <w:rPr>
                <w:rFonts w:ascii="Calibri" w:hAnsi="Calibri"/>
                <w:b/>
                <w:color w:val="1F4D78"/>
                <w:sz w:val="19"/>
              </w:rPr>
              <w:t>Parameter</w:t>
            </w:r>
          </w:p>
        </w:tc>
        <w:tc>
          <w:tcPr>
            <w:tcW w:type="dxa" w:w="1800"/>
            <w:vAlign w:val="center"/>
            <w:tcMar>
              <w:top w:w="80" w:type="dxa"/>
              <w:start w:w="120" w:type="dxa"/>
              <w:bottom w:w="80" w:type="dxa"/>
              <w:end w:w="120" w:type="dxa"/>
            </w:tcMar>
            <w:shd w:fill="E8EEF5"/>
          </w:tcPr>
          <w:p>
            <w:pPr>
              <w:spacing w:after="0"/>
            </w:pPr>
            <w:r>
              <w:rPr>
                <w:rFonts w:ascii="Calibri" w:hAnsi="Calibri"/>
                <w:b/>
                <w:color w:val="1F4D78"/>
                <w:sz w:val="19"/>
              </w:rPr>
              <w:t>Gaussian star</w:t>
            </w:r>
          </w:p>
        </w:tc>
        <w:tc>
          <w:tcPr>
            <w:tcW w:type="dxa" w:w="1800"/>
            <w:vAlign w:val="center"/>
            <w:tcMar>
              <w:top w:w="80" w:type="dxa"/>
              <w:start w:w="120" w:type="dxa"/>
              <w:bottom w:w="80" w:type="dxa"/>
              <w:end w:w="120" w:type="dxa"/>
            </w:tcMar>
            <w:shd w:fill="E8EEF5"/>
          </w:tcPr>
          <w:p>
            <w:pPr>
              <w:spacing w:after="0"/>
            </w:pPr>
            <w:r>
              <w:rPr>
                <w:rFonts w:ascii="Calibri" w:hAnsi="Calibri"/>
                <w:b/>
                <w:color w:val="1F4D78"/>
                <w:sz w:val="19"/>
              </w:rPr>
              <w:t>Moffat star</w:t>
            </w:r>
          </w:p>
        </w:tc>
        <w:tc>
          <w:tcPr>
            <w:tcW w:type="dxa" w:w="1800"/>
            <w:vAlign w:val="center"/>
            <w:tcMar>
              <w:top w:w="80" w:type="dxa"/>
              <w:start w:w="120" w:type="dxa"/>
              <w:bottom w:w="80" w:type="dxa"/>
              <w:end w:w="120" w:type="dxa"/>
            </w:tcMar>
            <w:shd w:fill="E8EEF5"/>
          </w:tcPr>
          <w:p>
            <w:pPr>
              <w:spacing w:after="0"/>
            </w:pPr>
            <w:r>
              <w:rPr>
                <w:rFonts w:ascii="Calibri" w:hAnsi="Calibri"/>
                <w:b/>
                <w:color w:val="1F4D78"/>
                <w:sz w:val="19"/>
              </w:rPr>
              <w:t>Star cluster</w:t>
            </w:r>
          </w:p>
        </w:tc>
        <w:tc>
          <w:tcPr>
            <w:tcW w:type="dxa" w:w="1728"/>
            <w:vAlign w:val="center"/>
            <w:tcMar>
              <w:top w:w="80" w:type="dxa"/>
              <w:start w:w="120" w:type="dxa"/>
              <w:bottom w:w="80" w:type="dxa"/>
              <w:end w:w="120" w:type="dxa"/>
            </w:tcMar>
            <w:shd w:fill="E8EEF5"/>
          </w:tcPr>
          <w:p>
            <w:pPr>
              <w:spacing w:after="0"/>
            </w:pPr>
            <w:r>
              <w:rPr>
                <w:rFonts w:ascii="Calibri" w:hAnsi="Calibri"/>
                <w:b/>
                <w:color w:val="1F4D78"/>
                <w:sz w:val="19"/>
              </w:rPr>
              <w:t>Compact galaxy</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9"/>
              </w:rPr>
              <w:t>Type</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728"/>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9"/>
              </w:rPr>
              <w:t>Brightness mode</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728"/>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9"/>
              </w:rPr>
              <w:t>x/y deprojected location</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728"/>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9"/>
              </w:rPr>
              <w:t>peak residual sigma</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728"/>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9"/>
              </w:rPr>
              <w:t>integrated mag</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728"/>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9"/>
              </w:rPr>
              <w:t>zero flux [Jy]</w:t>
            </w:r>
          </w:p>
        </w:tc>
        <w:tc>
          <w:tcPr>
            <w:tcW w:type="dxa" w:w="1800"/>
            <w:vAlign w:val="center"/>
            <w:tcMar>
              <w:top w:w="80" w:type="dxa"/>
              <w:start w:w="120" w:type="dxa"/>
              <w:bottom w:w="80" w:type="dxa"/>
              <w:end w:w="120" w:type="dxa"/>
            </w:tcMar>
          </w:tcPr>
          <w:p>
            <w:pPr>
              <w:spacing w:after="0"/>
            </w:pPr>
            <w:r>
              <w:rPr>
                <w:rFonts w:ascii="Calibri" w:hAnsi="Calibri"/>
                <w:sz w:val="19"/>
              </w:rPr>
              <w:t>Magnitude mode</w:t>
            </w:r>
          </w:p>
        </w:tc>
        <w:tc>
          <w:tcPr>
            <w:tcW w:type="dxa" w:w="1800"/>
            <w:vAlign w:val="center"/>
            <w:tcMar>
              <w:top w:w="80" w:type="dxa"/>
              <w:start w:w="120" w:type="dxa"/>
              <w:bottom w:w="80" w:type="dxa"/>
              <w:end w:w="120" w:type="dxa"/>
            </w:tcMar>
          </w:tcPr>
          <w:p>
            <w:pPr>
              <w:spacing w:after="0"/>
            </w:pPr>
            <w:r>
              <w:rPr>
                <w:rFonts w:ascii="Calibri" w:hAnsi="Calibri"/>
                <w:sz w:val="19"/>
              </w:rPr>
              <w:t>Magnitude mode</w:t>
            </w:r>
          </w:p>
        </w:tc>
        <w:tc>
          <w:tcPr>
            <w:tcW w:type="dxa" w:w="1800"/>
            <w:vAlign w:val="center"/>
            <w:tcMar>
              <w:top w:w="80" w:type="dxa"/>
              <w:start w:w="120" w:type="dxa"/>
              <w:bottom w:w="80" w:type="dxa"/>
              <w:end w:w="120" w:type="dxa"/>
            </w:tcMar>
          </w:tcPr>
          <w:p>
            <w:pPr>
              <w:spacing w:after="0"/>
            </w:pPr>
            <w:r>
              <w:rPr>
                <w:rFonts w:ascii="Calibri" w:hAnsi="Calibri"/>
                <w:sz w:val="19"/>
              </w:rPr>
              <w:t>Magnitude mode</w:t>
            </w:r>
          </w:p>
        </w:tc>
        <w:tc>
          <w:tcPr>
            <w:tcW w:type="dxa" w:w="1728"/>
            <w:vAlign w:val="center"/>
            <w:tcMar>
              <w:top w:w="80" w:type="dxa"/>
              <w:start w:w="120" w:type="dxa"/>
              <w:bottom w:w="80" w:type="dxa"/>
              <w:end w:w="120" w:type="dxa"/>
            </w:tcMar>
          </w:tcPr>
          <w:p>
            <w:pPr>
              <w:spacing w:after="0"/>
            </w:pPr>
            <w:r>
              <w:rPr>
                <w:rFonts w:ascii="Calibri" w:hAnsi="Calibri"/>
                <w:sz w:val="19"/>
              </w:rPr>
              <w:t>Magnitude mode</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9"/>
              </w:rPr>
              <w:t>FWHM [arcsec]</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728"/>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9"/>
              </w:rPr>
              <w:t>axis ratio</w:t>
            </w:r>
          </w:p>
        </w:tc>
        <w:tc>
          <w:tcPr>
            <w:tcW w:type="dxa" w:w="1800"/>
            <w:vAlign w:val="center"/>
            <w:tcMar>
              <w:top w:w="80" w:type="dxa"/>
              <w:start w:w="120" w:type="dxa"/>
              <w:bottom w:w="80" w:type="dxa"/>
              <w:end w:w="120" w:type="dxa"/>
            </w:tcMar>
          </w:tcPr>
          <w:p>
            <w:pPr>
              <w:spacing w:after="0"/>
            </w:pPr>
            <w:r>
              <w:rPr>
                <w:rFonts w:ascii="Calibri" w:hAnsi="Calibri"/>
                <w:sz w:val="19"/>
              </w:rPr>
              <w:t>No</w:t>
            </w:r>
          </w:p>
        </w:tc>
        <w:tc>
          <w:tcPr>
            <w:tcW w:type="dxa" w:w="1800"/>
            <w:vAlign w:val="center"/>
            <w:tcMar>
              <w:top w:w="80" w:type="dxa"/>
              <w:start w:w="120" w:type="dxa"/>
              <w:bottom w:w="80" w:type="dxa"/>
              <w:end w:w="120" w:type="dxa"/>
            </w:tcMar>
          </w:tcPr>
          <w:p>
            <w:pPr>
              <w:spacing w:after="0"/>
            </w:pPr>
            <w:r>
              <w:rPr>
                <w:rFonts w:ascii="Calibri" w:hAnsi="Calibri"/>
                <w:sz w:val="19"/>
              </w:rPr>
              <w:t>No</w:t>
            </w:r>
          </w:p>
        </w:tc>
        <w:tc>
          <w:tcPr>
            <w:tcW w:type="dxa" w:w="1800"/>
            <w:vAlign w:val="center"/>
            <w:tcMar>
              <w:top w:w="80" w:type="dxa"/>
              <w:start w:w="120" w:type="dxa"/>
              <w:bottom w:w="80" w:type="dxa"/>
              <w:end w:w="120" w:type="dxa"/>
            </w:tcMar>
          </w:tcPr>
          <w:p>
            <w:pPr>
              <w:spacing w:after="0"/>
            </w:pPr>
            <w:r>
              <w:rPr>
                <w:rFonts w:ascii="Calibri" w:hAnsi="Calibri"/>
                <w:sz w:val="19"/>
              </w:rPr>
              <w:t>No</w:t>
            </w:r>
          </w:p>
        </w:tc>
        <w:tc>
          <w:tcPr>
            <w:tcW w:type="dxa" w:w="1728"/>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9"/>
              </w:rPr>
              <w:t>object PA [deg]</w:t>
            </w:r>
          </w:p>
        </w:tc>
        <w:tc>
          <w:tcPr>
            <w:tcW w:type="dxa" w:w="1800"/>
            <w:vAlign w:val="center"/>
            <w:tcMar>
              <w:top w:w="80" w:type="dxa"/>
              <w:start w:w="120" w:type="dxa"/>
              <w:bottom w:w="80" w:type="dxa"/>
              <w:end w:w="120" w:type="dxa"/>
            </w:tcMar>
          </w:tcPr>
          <w:p>
            <w:pPr>
              <w:spacing w:after="0"/>
            </w:pPr>
            <w:r>
              <w:rPr>
                <w:rFonts w:ascii="Calibri" w:hAnsi="Calibri"/>
                <w:sz w:val="19"/>
              </w:rPr>
              <w:t>No</w:t>
            </w:r>
          </w:p>
        </w:tc>
        <w:tc>
          <w:tcPr>
            <w:tcW w:type="dxa" w:w="1800"/>
            <w:vAlign w:val="center"/>
            <w:tcMar>
              <w:top w:w="80" w:type="dxa"/>
              <w:start w:w="120" w:type="dxa"/>
              <w:bottom w:w="80" w:type="dxa"/>
              <w:end w:w="120" w:type="dxa"/>
            </w:tcMar>
          </w:tcPr>
          <w:p>
            <w:pPr>
              <w:spacing w:after="0"/>
            </w:pPr>
            <w:r>
              <w:rPr>
                <w:rFonts w:ascii="Calibri" w:hAnsi="Calibri"/>
                <w:sz w:val="19"/>
              </w:rPr>
              <w:t>No</w:t>
            </w:r>
          </w:p>
        </w:tc>
        <w:tc>
          <w:tcPr>
            <w:tcW w:type="dxa" w:w="1800"/>
            <w:vAlign w:val="center"/>
            <w:tcMar>
              <w:top w:w="80" w:type="dxa"/>
              <w:start w:w="120" w:type="dxa"/>
              <w:bottom w:w="80" w:type="dxa"/>
              <w:end w:w="120" w:type="dxa"/>
            </w:tcMar>
          </w:tcPr>
          <w:p>
            <w:pPr>
              <w:spacing w:after="0"/>
            </w:pPr>
            <w:r>
              <w:rPr>
                <w:rFonts w:ascii="Calibri" w:hAnsi="Calibri"/>
                <w:sz w:val="19"/>
              </w:rPr>
              <w:t>No</w:t>
            </w:r>
          </w:p>
        </w:tc>
        <w:tc>
          <w:tcPr>
            <w:tcW w:type="dxa" w:w="1728"/>
            <w:vAlign w:val="center"/>
            <w:tcMar>
              <w:top w:w="80" w:type="dxa"/>
              <w:start w:w="120" w:type="dxa"/>
              <w:bottom w:w="80" w:type="dxa"/>
              <w:end w:w="120" w:type="dxa"/>
            </w:tcMar>
          </w:tcPr>
          <w:p>
            <w:pPr>
              <w:spacing w:after="0"/>
            </w:pPr>
            <w:r>
              <w:rPr>
                <w:rFonts w:ascii="Calibri" w:hAnsi="Calibri"/>
                <w:sz w:val="19"/>
              </w:rPr>
              <w:t>Yes</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9"/>
              </w:rPr>
              <w:t>Moffat beta</w:t>
            </w:r>
          </w:p>
        </w:tc>
        <w:tc>
          <w:tcPr>
            <w:tcW w:type="dxa" w:w="1800"/>
            <w:vAlign w:val="center"/>
            <w:tcMar>
              <w:top w:w="80" w:type="dxa"/>
              <w:start w:w="120" w:type="dxa"/>
              <w:bottom w:w="80" w:type="dxa"/>
              <w:end w:w="120" w:type="dxa"/>
            </w:tcMar>
          </w:tcPr>
          <w:p>
            <w:pPr>
              <w:spacing w:after="0"/>
            </w:pPr>
            <w:r>
              <w:rPr>
                <w:rFonts w:ascii="Calibri" w:hAnsi="Calibri"/>
                <w:sz w:val="19"/>
              </w:rPr>
              <w:t>No</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No</w:t>
            </w:r>
          </w:p>
        </w:tc>
        <w:tc>
          <w:tcPr>
            <w:tcW w:type="dxa" w:w="1728"/>
            <w:vAlign w:val="center"/>
            <w:tcMar>
              <w:top w:w="80" w:type="dxa"/>
              <w:start w:w="120" w:type="dxa"/>
              <w:bottom w:w="80" w:type="dxa"/>
              <w:end w:w="120" w:type="dxa"/>
            </w:tcMar>
          </w:tcPr>
          <w:p>
            <w:pPr>
              <w:spacing w:after="0"/>
            </w:pPr>
            <w:r>
              <w:rPr>
                <w:rFonts w:ascii="Calibri" w:hAnsi="Calibri"/>
                <w:sz w:val="19"/>
              </w:rPr>
              <w:t>No</w:t>
            </w:r>
          </w:p>
        </w:tc>
      </w:tr>
      <w:tr>
        <w:trPr>
          <w:cantSplit/>
        </w:trPr>
        <w:tc>
          <w:tcPr>
            <w:tcW w:type="dxa" w:w="2232"/>
            <w:vAlign w:val="center"/>
            <w:tcMar>
              <w:top w:w="80" w:type="dxa"/>
              <w:start w:w="120" w:type="dxa"/>
              <w:bottom w:w="80" w:type="dxa"/>
              <w:end w:w="120" w:type="dxa"/>
            </w:tcMar>
          </w:tcPr>
          <w:p>
            <w:pPr>
              <w:spacing w:after="0"/>
            </w:pPr>
            <w:r>
              <w:rPr>
                <w:rFonts w:ascii="Calibri" w:hAnsi="Calibri"/>
                <w:sz w:val="19"/>
              </w:rPr>
              <w:t>truth dilation [px]</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800"/>
            <w:vAlign w:val="center"/>
            <w:tcMar>
              <w:top w:w="80" w:type="dxa"/>
              <w:start w:w="120" w:type="dxa"/>
              <w:bottom w:w="80" w:type="dxa"/>
              <w:end w:w="120" w:type="dxa"/>
            </w:tcMar>
          </w:tcPr>
          <w:p>
            <w:pPr>
              <w:spacing w:after="0"/>
            </w:pPr>
            <w:r>
              <w:rPr>
                <w:rFonts w:ascii="Calibri" w:hAnsi="Calibri"/>
                <w:sz w:val="19"/>
              </w:rPr>
              <w:t>Yes</w:t>
            </w:r>
          </w:p>
        </w:tc>
        <w:tc>
          <w:tcPr>
            <w:tcW w:type="dxa" w:w="1728"/>
            <w:vAlign w:val="center"/>
            <w:tcMar>
              <w:top w:w="80" w:type="dxa"/>
              <w:start w:w="120" w:type="dxa"/>
              <w:bottom w:w="80" w:type="dxa"/>
              <w:end w:w="120" w:type="dxa"/>
            </w:tcMar>
          </w:tcPr>
          <w:p>
            <w:pPr>
              <w:spacing w:after="0"/>
            </w:pPr>
            <w:r>
              <w:rPr>
                <w:rFonts w:ascii="Calibri" w:hAnsi="Calibri"/>
                <w:sz w:val="19"/>
              </w:rPr>
              <w:t>Yes</w:t>
            </w:r>
          </w:p>
        </w:tc>
      </w:tr>
    </w:tbl>
    <w:p>
      <w:pPr>
        <w:pStyle w:val="Heading1"/>
      </w:pPr>
      <w:r>
        <w:t>Key Terms and Formulas</w:t>
      </w:r>
    </w:p>
    <w:p>
      <w:pPr>
        <w:pStyle w:val="Heading2"/>
      </w:pPr>
      <w:r>
        <w:t>Gaussian sigma and FWHM</w:t>
      </w:r>
    </w:p>
    <w:p>
      <w:r>
        <w:t>A Gaussian profile is often described by sigma, but the UI asks for FWHM because it is easier to interpret visually. The code uses:</w:t>
      </w:r>
    </w:p>
    <w:tbl>
      <w:tblPr>
        <w:tblW w:type="auto" w:w="0"/>
        <w:jc w:val="left"/>
        <w:tblLayout w:type="fixed"/>
        <w:tblLook w:firstColumn="1" w:firstRow="1" w:lastColumn="0" w:lastRow="0" w:noHBand="0" w:noVBand="1" w:val="04A0"/>
      </w:tblPr>
      <w:tblGrid>
        <w:gridCol w:w="9360"/>
      </w:tblGrid>
      <w:tr>
        <w:trPr>
          <w:cantSplit/>
          <w:tblHeader/>
        </w:trPr>
        <w:tc>
          <w:tcPr>
            <w:tcW w:type="dxa" w:w="9360"/>
            <w:vAlign w:val="center"/>
            <w:tcMar>
              <w:top w:w="80" w:type="dxa"/>
              <w:start w:w="120" w:type="dxa"/>
              <w:bottom w:w="80" w:type="dxa"/>
              <w:end w:w="120" w:type="dxa"/>
            </w:tcMar>
            <w:shd w:fill="F4F6F9"/>
          </w:tcPr>
          <w:p>
            <w:pPr>
              <w:spacing w:after="0"/>
            </w:pPr>
            <w:r>
              <w:rPr>
                <w:b/>
                <w:color w:val="1F3A5F"/>
              </w:rPr>
              <w:t xml:space="preserve">Formula: </w:t>
            </w:r>
            <w:r>
              <w:t>sigma_pixels = max(0.2, FWHM_pixels / 2.3548)</w:t>
            </w:r>
          </w:p>
        </w:tc>
      </w:tr>
    </w:tbl>
    <w:p/>
    <w:p>
      <w:r>
        <w:t>A larger FWHM makes the object broader. For the Star cluster profile, FWHM also sets how far apart the three Gaussian components are placed.</w:t>
      </w:r>
    </w:p>
    <w:p>
      <w:pPr>
        <w:pStyle w:val="Heading2"/>
      </w:pPr>
      <w:r>
        <w:t>Moffat beta</w:t>
      </w:r>
    </w:p>
    <w:p>
      <w:r>
        <w:t>The Moffat profile is useful for point sources because real stellar PSFs often have broader wings than a Gaussian. The injected Moffat star is circular and follows:</w:t>
      </w:r>
    </w:p>
    <w:tbl>
      <w:tblPr>
        <w:tblW w:type="auto" w:w="0"/>
        <w:jc w:val="left"/>
        <w:tblLayout w:type="fixed"/>
        <w:tblLook w:firstColumn="1" w:firstRow="1" w:lastColumn="0" w:lastRow="0" w:noHBand="0" w:noVBand="1" w:val="04A0"/>
      </w:tblPr>
      <w:tblGrid>
        <w:gridCol w:w="9360"/>
      </w:tblGrid>
      <w:tr>
        <w:trPr>
          <w:cantSplit/>
          <w:tblHeader/>
        </w:trPr>
        <w:tc>
          <w:tcPr>
            <w:tcW w:type="dxa" w:w="9360"/>
            <w:vAlign w:val="center"/>
            <w:tcMar>
              <w:top w:w="80" w:type="dxa"/>
              <w:start w:w="120" w:type="dxa"/>
              <w:bottom w:w="80" w:type="dxa"/>
              <w:end w:w="120" w:type="dxa"/>
            </w:tcMar>
            <w:shd w:fill="F4F6F9"/>
          </w:tcPr>
          <w:p>
            <w:pPr>
              <w:spacing w:after="0"/>
            </w:pPr>
            <w:r>
              <w:rPr>
                <w:b/>
                <w:color w:val="1F3A5F"/>
              </w:rPr>
              <w:t xml:space="preserve">Formula: </w:t>
            </w:r>
            <w:r>
              <w:t>I(r) = peak * (1 + r^2 / alpha^2)^(-beta), where alpha is computed from FWHM and beta.</w:t>
            </w:r>
          </w:p>
        </w:tc>
      </w:tr>
    </w:tbl>
    <w:p/>
    <w:p>
      <w:pPr>
        <w:pStyle w:val="ListBullet"/>
      </w:pPr>
      <w:r>
        <w:t>Lower beta, for example around 1.5-2.5, produces heavier wings and more light far from the centre.</w:t>
      </w:r>
    </w:p>
    <w:p>
      <w:pPr>
        <w:pStyle w:val="ListBullet"/>
      </w:pPr>
      <w:r>
        <w:t>Higher beta, for example 5-8, makes the profile fall off more steeply.</w:t>
      </w:r>
    </w:p>
    <w:p>
      <w:pPr>
        <w:pStyle w:val="ListBullet"/>
      </w:pPr>
      <w:r>
        <w:t>The code clamps beta to at least 1.2 internally; the UI range starts at 1.3.</w:t>
      </w:r>
    </w:p>
    <w:p>
      <w:pPr>
        <w:pStyle w:val="Heading2"/>
      </w:pPr>
      <w:r>
        <w:t>Integrated magnitude mode</w:t>
      </w:r>
    </w:p>
    <w:p>
      <w:r>
        <w:t>Magnitude mode first builds the chosen object profile with peak = 1, then scales that unit model so the total integrated flux matches the requested magnitude.</w:t>
      </w:r>
    </w:p>
    <w:tbl>
      <w:tblPr>
        <w:tblW w:type="auto" w:w="0"/>
        <w:jc w:val="left"/>
        <w:tblLayout w:type="fixed"/>
        <w:tblLook w:firstColumn="1" w:firstRow="1" w:lastColumn="0" w:lastRow="0" w:noHBand="0" w:noVBand="1" w:val="04A0"/>
      </w:tblPr>
      <w:tblGrid>
        <w:gridCol w:w="9360"/>
      </w:tblGrid>
      <w:tr>
        <w:trPr>
          <w:cantSplit/>
          <w:tblHeader/>
        </w:trPr>
        <w:tc>
          <w:tcPr>
            <w:tcW w:type="dxa" w:w="9360"/>
            <w:vAlign w:val="center"/>
            <w:tcMar>
              <w:top w:w="80" w:type="dxa"/>
              <w:start w:w="120" w:type="dxa"/>
              <w:bottom w:w="80" w:type="dxa"/>
              <w:end w:w="120" w:type="dxa"/>
            </w:tcMar>
            <w:shd w:fill="F4F6F9"/>
          </w:tcPr>
          <w:p>
            <w:pPr>
              <w:spacing w:after="0"/>
            </w:pPr>
            <w:r>
              <w:rPr>
                <w:b/>
                <w:color w:val="1F3A5F"/>
              </w:rPr>
              <w:t xml:space="preserve">Formula: </w:t>
            </w:r>
            <w:r>
              <w:t>flux_Jy = zero_flux_Jy * 10^(-0.4 * magnitude)</w:t>
            </w:r>
          </w:p>
        </w:tc>
      </w:tr>
    </w:tbl>
    <w:p/>
    <w:p>
      <w:r>
        <w:t>If the FITS header uses BUNIT=MJy/sr, the code converts summed model intensity to Jy using the pixel area in steradians. If not, it looks for a count-based magnitude zero point in MAGZP, MAGZERO, or ZEROPOINT.</w:t>
      </w:r>
    </w:p>
    <w:p>
      <w:pPr>
        <w:pStyle w:val="Heading2"/>
      </w:pPr>
      <w:r>
        <w:t>Truth mask and recovery metrics</w:t>
      </w:r>
    </w:p>
    <w:p>
      <w:r>
        <w:t>The truth mask is not the same as the light profile. The code thresholds the model at 8 percent of the peak or 8 percent of the maximum model value, then optionally dilates that binary mask by truth dilation [px].</w:t>
      </w:r>
    </w:p>
    <w:p>
      <w:pPr>
        <w:pStyle w:val="ListBullet"/>
      </w:pPr>
      <w:r>
        <w:t>Recall is recovered truth pixels divided by total truth pixels.</w:t>
      </w:r>
    </w:p>
    <w:p>
      <w:pPr>
        <w:pStyle w:val="ListBullet"/>
      </w:pPr>
      <w:r>
        <w:t>Incremental recall uses only the new mask pixels produced after injecting the Toy object.</w:t>
      </w:r>
    </w:p>
    <w:p>
      <w:pPr>
        <w:pStyle w:val="ListBullet"/>
      </w:pPr>
      <w:r>
        <w:t>Incremental precision asks what fraction of the new mask pixels overlap the truth mask.</w:t>
      </w:r>
    </w:p>
    <w:p>
      <w:pPr>
        <w:pStyle w:val="Heading1"/>
      </w:pPr>
      <w:r>
        <w:t>Suggested Usage</w:t>
      </w:r>
    </w:p>
    <w:p>
      <w:pPr>
        <w:pStyle w:val="ListBullet"/>
      </w:pPr>
      <w:r>
        <w:t>Use Gaussian star for a simple compact-source sensitivity test.</w:t>
      </w:r>
    </w:p>
    <w:p>
      <w:pPr>
        <w:pStyle w:val="ListBullet"/>
      </w:pPr>
      <w:r>
        <w:t>Use Moffat star when you want to test whether the mask catches PSF wings; adjust Moffat beta to make the wings broader or narrower.</w:t>
      </w:r>
    </w:p>
    <w:p>
      <w:pPr>
        <w:pStyle w:val="ListBullet"/>
      </w:pPr>
      <w:r>
        <w:t>Use Star cluster when you want a blended compact contaminant rather than a single source.</w:t>
      </w:r>
    </w:p>
    <w:p>
      <w:pPr>
        <w:pStyle w:val="ListBullet"/>
      </w:pPr>
      <w:r>
        <w:t>Use Compact galaxy when elongation and orientation matter; this is the only Toy object type that uses axis ratio and object PA.</w:t>
      </w:r>
    </w:p>
    <w:p>
      <w:pPr>
        <w:pStyle w:val="ListBullet"/>
      </w:pPr>
      <w:r>
        <w:t>Use Peak residual sigma for quick recovery experiments. Use Integrated magnitude when you want physically calibrated brightness and the FITS header supports the conversion.</w:t>
      </w:r>
    </w:p>
    <w:p>
      <w:pPr>
        <w:pStyle w:val="ListBullet"/>
      </w:pPr>
      <w:r>
        <w:t>Remember that truth dilation changes the scoring mask, not the injected object itself.</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6"/>
      </w:rPr>
      <w:t>Toy Object Parameters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