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0"/>
        </w:rPr>
        <w:t>SEP and MTObjects Optuna Optimisation Process</w:t>
      </w:r>
    </w:p>
    <w:p>
      <w:pPr>
        <w:pStyle w:val="SmallNote"/>
      </w:pPr>
      <w:r>
        <w:t>What is optimised, how it is scored, and how run results are recorded</w:t>
      </w:r>
    </w:p>
    <w:p>
      <w:pPr>
        <w:pStyle w:val="SmallNote"/>
      </w:pPr>
      <w:r>
        <w:t>Updated: 2026-07-22 09:36:41</w:t>
      </w:r>
    </w:p>
    <w:p>
      <w:pPr>
        <w:pStyle w:val="Heading1"/>
      </w:pPr>
      <w:r>
        <w:t>Executive Summary</w:t>
      </w:r>
    </w:p>
    <w:p>
      <w:pPr>
        <w:pStyle w:val="ListBullet"/>
        <w:spacing w:after="80"/>
        <w:ind w:left="540" w:hanging="271"/>
      </w:pPr>
      <w:r>
        <w:t>There are now four optimisation routes: SEP Spike Gate, MTObjects Spike Gate, MTObjects toy-object, and SEP toy-object.</w:t>
      </w:r>
    </w:p>
    <w:p>
      <w:pPr>
        <w:pStyle w:val="ListBullet"/>
        <w:spacing w:after="80"/>
        <w:ind w:left="540" w:hanging="271"/>
      </w:pPr>
      <w:r>
        <w:t>Spike Gate optimisers optimise against narrow bar-major profile spikes, with a strong penalty for missed spike coverage and smaller penalties for unnecessary data loss.</w:t>
      </w:r>
    </w:p>
    <w:p>
      <w:pPr>
        <w:pStyle w:val="ListBullet"/>
        <w:spacing w:after="80"/>
        <w:ind w:left="540" w:hanging="271"/>
      </w:pPr>
      <w:r>
        <w:t>Toy-object optimisers inject known synthetic sources into real images and optimise recovery quality while penalising false-positive incremental masking. Current toy-object runs place those sources only inside the galaxy area being investigated, not across the full finite FITS footprint.</w:t>
      </w:r>
    </w:p>
    <w:p>
      <w:pPr>
        <w:pStyle w:val="Heading2"/>
      </w:pPr>
      <w:r>
        <w:t>Toy-object injection region</w:t>
      </w:r>
    </w:p>
    <w:p>
      <w:r>
        <w:t>For both SEP and MTObjects toy-object optimisation, the valid injection region is the same deprojected, bar-aligned square cutout used by the normal visual reports and bar-major profiles. The x-axis is the deprojected bar-major axis and the y-axis is the deprojected bar-minor axis. The cutout radius follows the standard profile-view rule: max(3 x bar_sma, 45 arcsec), limited by the available image boundary.</w:t>
      </w:r>
    </w:p>
    <w:p>
      <w:r>
        <w:t>The optimiser samples toy centres only from finite pixels inside this investigated region. After the toy model is generated, the truth mask is formed from pixels above 8 percent of the toy peak and then truth-dilated if requested. The placement is accepted only if the full truth mask remains inside the investigated region.</w:t>
      </w:r>
    </w:p>
    <w:p>
      <w:r>
        <w:t>Consequence: toy-object optimisation outputs produced before this rule was added on 2026-07-22 should be treated as superseded. They can overstate or misdirect performance because some injected objects may have been outside the area actually used for the galaxy/profile analysis.</w:t>
      </w:r>
    </w:p>
    <w:p>
      <w:pPr>
        <w:pStyle w:val="ListBullet"/>
        <w:spacing w:after="80"/>
        <w:ind w:left="540" w:hanging="271"/>
      </w:pPr>
      <w:r>
        <w:t>Each optimiser now appends run results to the shared workbook: D:\Dropbox\Public Documents\UCLAN\MSc Research\Remove foreground objects\documentation\Foreground Masking Optimisation Results.xlsx.</w:t>
      </w:r>
    </w:p>
    <w:p>
      <w:pPr>
        <w:pStyle w:val="ListBullet"/>
        <w:spacing w:after="80"/>
        <w:ind w:left="540" w:hanging="271"/>
      </w:pPr>
      <w:r>
        <w:t>The workbook records algorithm, method, run date/time, output paths, saved run configuration, trial parameters, best parameters, and per-trial results.</w:t>
      </w:r>
    </w:p>
    <w:p>
      <w:pPr>
        <w:pStyle w:val="Heading1"/>
      </w:pPr>
      <w:r>
        <w:t>Programs Covered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1500"/>
        <w:gridCol w:w="4100"/>
        <w:gridCol w:w="2360"/>
      </w:tblGrid>
      <w:tr>
        <w:tc>
          <w:tcPr>
            <w:tcW w:type="dxa" w:w="1400"/>
            <w:shd w:fill="E8EEF5"/>
            <w:vAlign w:val="center"/>
          </w:tcPr>
          <w:p>
            <w:r>
              <w:rPr>
                <w:b/>
                <w:color w:val="0B2545"/>
              </w:rPr>
              <w:t>Algorithm</w:t>
            </w:r>
          </w:p>
        </w:tc>
        <w:tc>
          <w:tcPr>
            <w:tcW w:type="dxa" w:w="1500"/>
            <w:shd w:fill="E8EEF5"/>
            <w:vAlign w:val="center"/>
          </w:tcPr>
          <w:p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4100"/>
            <w:shd w:fill="E8EEF5"/>
            <w:vAlign w:val="center"/>
          </w:tcPr>
          <w:p>
            <w:r>
              <w:rPr>
                <w:b/>
                <w:color w:val="0B2545"/>
              </w:rPr>
              <w:t>Program</w:t>
            </w:r>
          </w:p>
        </w:tc>
        <w:tc>
          <w:tcPr>
            <w:tcW w:type="dxa" w:w="2360"/>
            <w:shd w:fill="E8EEF5"/>
            <w:vAlign w:val="center"/>
          </w:tcPr>
          <w:p>
            <w:r>
              <w:rPr>
                <w:b/>
                <w:color w:val="0B2545"/>
              </w:rPr>
              <w:t>Primary best-output file</w:t>
            </w:r>
          </w:p>
        </w:tc>
      </w:tr>
      <w:tr>
        <w:tc>
          <w:tcPr>
            <w:tcW w:type="dxa" w:w="1400"/>
            <w:vAlign w:val="center"/>
          </w:tcPr>
          <w:p>
            <w:r>
              <w:t>SEP</w:t>
            </w:r>
          </w:p>
        </w:tc>
        <w:tc>
          <w:tcPr>
            <w:tcW w:type="dxa" w:w="1500"/>
            <w:vAlign w:val="center"/>
          </w:tcPr>
          <w:p>
            <w:r>
              <w:t>Spike Gate</w:t>
            </w:r>
          </w:p>
        </w:tc>
        <w:tc>
          <w:tcPr>
            <w:tcW w:type="dxa" w:w="4100"/>
            <w:vAlign w:val="center"/>
          </w:tcPr>
          <w:p>
            <w:r>
              <w:t>Foreground Masking\optimise_sep_spike_gate_parameters.py</w:t>
            </w:r>
          </w:p>
        </w:tc>
        <w:tc>
          <w:tcPr>
            <w:tcW w:type="dxa" w:w="2360"/>
            <w:vAlign w:val="center"/>
          </w:tcPr>
          <w:p>
            <w:r>
              <w:t>sep_spike_optimisation_best.json</w:t>
            </w:r>
          </w:p>
        </w:tc>
      </w:tr>
      <w:tr>
        <w:tc>
          <w:tcPr>
            <w:tcW w:type="dxa" w:w="1400"/>
            <w:vAlign w:val="center"/>
          </w:tcPr>
          <w:p>
            <w:r>
              <w:t>MTObjects</w:t>
            </w:r>
          </w:p>
        </w:tc>
        <w:tc>
          <w:tcPr>
            <w:tcW w:type="dxa" w:w="1500"/>
            <w:vAlign w:val="center"/>
          </w:tcPr>
          <w:p>
            <w:r>
              <w:t>Spike Gate</w:t>
            </w:r>
          </w:p>
        </w:tc>
        <w:tc>
          <w:tcPr>
            <w:tcW w:type="dxa" w:w="4100"/>
            <w:vAlign w:val="center"/>
          </w:tcPr>
          <w:p>
            <w:r>
              <w:t>Foreground Masking\optimise_mtobjects_spike_gate_parameters.py</w:t>
            </w:r>
          </w:p>
        </w:tc>
        <w:tc>
          <w:tcPr>
            <w:tcW w:type="dxa" w:w="2360"/>
            <w:vAlign w:val="center"/>
          </w:tcPr>
          <w:p>
            <w:r>
              <w:t>mtobjects_spike_optimisation_best.json</w:t>
            </w:r>
          </w:p>
        </w:tc>
      </w:tr>
      <w:tr>
        <w:tc>
          <w:tcPr>
            <w:tcW w:type="dxa" w:w="1400"/>
            <w:vAlign w:val="center"/>
          </w:tcPr>
          <w:p>
            <w:r>
              <w:t>MTObjects</w:t>
            </w:r>
          </w:p>
        </w:tc>
        <w:tc>
          <w:tcPr>
            <w:tcW w:type="dxa" w:w="1500"/>
            <w:vAlign w:val="center"/>
          </w:tcPr>
          <w:p>
            <w:r>
              <w:t>Toy Object</w:t>
            </w:r>
          </w:p>
        </w:tc>
        <w:tc>
          <w:tcPr>
            <w:tcW w:type="dxa" w:w="4100"/>
            <w:vAlign w:val="center"/>
          </w:tcPr>
          <w:p>
            <w:r>
              <w:t>Foreground Masking\mtobjects_toy_object_parameter_optimisation.py</w:t>
            </w:r>
          </w:p>
        </w:tc>
        <w:tc>
          <w:tcPr>
            <w:tcW w:type="dxa" w:w="2360"/>
            <w:vAlign w:val="center"/>
          </w:tcPr>
          <w:p>
            <w:r>
              <w:t>mtobjects_parameter_optimisation_best.json</w:t>
            </w:r>
          </w:p>
        </w:tc>
      </w:tr>
      <w:tr>
        <w:tc>
          <w:tcPr>
            <w:tcW w:type="dxa" w:w="1400"/>
            <w:vAlign w:val="center"/>
          </w:tcPr>
          <w:p>
            <w:r>
              <w:t>SEP</w:t>
            </w:r>
          </w:p>
        </w:tc>
        <w:tc>
          <w:tcPr>
            <w:tcW w:type="dxa" w:w="1500"/>
            <w:vAlign w:val="center"/>
          </w:tcPr>
          <w:p>
            <w:r>
              <w:t>Toy Object</w:t>
            </w:r>
          </w:p>
        </w:tc>
        <w:tc>
          <w:tcPr>
            <w:tcW w:type="dxa" w:w="4100"/>
            <w:vAlign w:val="center"/>
          </w:tcPr>
          <w:p>
            <w:r>
              <w:t>Foreground Masking\sep_toy_object_parameter_optimisation.py</w:t>
            </w:r>
          </w:p>
        </w:tc>
        <w:tc>
          <w:tcPr>
            <w:tcW w:type="dxa" w:w="2360"/>
            <w:vAlign w:val="center"/>
          </w:tcPr>
          <w:p>
            <w:r>
              <w:t>sep_toy_object_optimisation_best.json</w:t>
            </w:r>
          </w:p>
        </w:tc>
      </w:tr>
    </w:tbl>
    <w:p>
      <w:pPr>
        <w:pStyle w:val="SmallNote"/>
      </w:pPr>
    </w:p>
    <w:p>
      <w:pPr>
        <w:pStyle w:val="Heading1"/>
      </w:pPr>
      <w:r>
        <w:t>Spike Gate Criteria</w:t>
      </w:r>
    </w:p>
    <w:p>
      <w:r>
        <w:t>Spike Gate is a one-dimensional target generator. It does not produce the final foreground mask; it identifies profile samples where a foreground object appears as a narrow positive spike in the deprojected, bar-aligned major-axis intensity profile.</w:t>
      </w:r>
    </w:p>
    <w:p>
      <w:pPr>
        <w:pStyle w:val="ListBullet"/>
        <w:spacing w:after="80"/>
        <w:ind w:left="540" w:hanging="271"/>
      </w:pPr>
      <w:r>
        <w:t>The profile is measured from either the original or residual image, depending on the optimiser or GUI setting. The MTObjects Spike Gate optimiser exposes this as --spike-gate-detect-on.</w:t>
      </w:r>
    </w:p>
    <w:p>
      <w:pPr>
        <w:pStyle w:val="ListBullet"/>
        <w:spacing w:after="80"/>
        <w:ind w:left="540" w:hanging="271"/>
      </w:pPr>
      <w:r>
        <w:t>Candidate samples must be off-centre, using the configured centre-exclusion distance so the galaxy centre is not treated as a spike.</w:t>
      </w:r>
    </w:p>
    <w:p>
      <w:pPr>
        <w:pStyle w:val="ListBullet"/>
        <w:spacing w:after="80"/>
        <w:ind w:left="540" w:hanging="271"/>
      </w:pPr>
      <w:r>
        <w:t>A spike must be locally high relative to its neighbouring baseline, controlled by spike-excess-fraction and the inner/outer neighbour windows.</w:t>
      </w:r>
    </w:p>
    <w:p>
      <w:pPr>
        <w:pStyle w:val="ListBullet"/>
        <w:spacing w:after="80"/>
        <w:ind w:left="540" w:hanging="271"/>
      </w:pPr>
      <w:r>
        <w:t>The side-drop rule checks that the profile falls away on both sides, so broad galaxy structure is less likely to be selected.</w:t>
      </w:r>
    </w:p>
    <w:p>
      <w:pPr>
        <w:pStyle w:val="ListBullet"/>
        <w:spacing w:after="80"/>
        <w:ind w:left="540" w:hanging="271"/>
      </w:pPr>
      <w:r>
        <w:t>spike-window-samples expands each accepted spike sample so the scoring is tolerant of small radial alignment differences between the profile and two-dimensional mask.</w:t>
      </w:r>
    </w:p>
    <w:p>
      <w:pPr>
        <w:pStyle w:val="Heading1"/>
      </w:pPr>
      <w:r>
        <w:t>Masking Processes</w:t>
      </w:r>
    </w:p>
    <w:p>
      <w:pPr>
        <w:pStyle w:val="Heading2"/>
      </w:pPr>
      <w:r>
        <w:t>MTObjects</w:t>
      </w:r>
    </w:p>
    <w:p>
      <w:r>
        <w:t>MTObjects is the two-dimensional segmentation engine for the MTObjects runs. The optimiser chooses global parameters and then the candidate mask is post-filtered before it is projected onto the science profile.</w:t>
      </w:r>
    </w:p>
    <w:p>
      <w:pPr>
        <w:pStyle w:val="ListBullet"/>
        <w:spacing w:after="80"/>
        <w:ind w:left="540" w:hanging="271"/>
      </w:pPr>
      <w:r>
        <w:t>detect-on selects whether MTObjects runs on the original image or the residual image.</w:t>
      </w:r>
    </w:p>
    <w:p>
      <w:pPr>
        <w:pStyle w:val="ListBullet"/>
        <w:spacing w:after="80"/>
        <w:ind w:left="540" w:hanging="271"/>
      </w:pPr>
      <w:r>
        <w:t>move_factor controls how far MTObjects moves objects during its internal watershed-style growth process.</w:t>
      </w:r>
    </w:p>
    <w:p>
      <w:pPr>
        <w:pStyle w:val="ListBullet"/>
        <w:spacing w:after="80"/>
        <w:ind w:left="540" w:hanging="271"/>
      </w:pPr>
      <w:r>
        <w:t>min_distance controls how close distinct detections can be before they merge or compete.</w:t>
      </w:r>
    </w:p>
    <w:p>
      <w:pPr>
        <w:pStyle w:val="ListBullet"/>
        <w:spacing w:after="80"/>
        <w:ind w:left="540" w:hanging="271"/>
      </w:pPr>
      <w:r>
        <w:t>gaussian_fwhm smooths the detection image before segmentation.</w:t>
      </w:r>
    </w:p>
    <w:p>
      <w:pPr>
        <w:pStyle w:val="ListBullet"/>
        <w:spacing w:after="80"/>
        <w:ind w:left="540" w:hanging="271"/>
      </w:pPr>
      <w:r>
        <w:t>minarea removes detections below a minimum pixel area.</w:t>
      </w:r>
    </w:p>
    <w:p>
      <w:pPr>
        <w:pStyle w:val="ListBullet"/>
        <w:spacing w:after="80"/>
        <w:ind w:left="540" w:hanging="271"/>
      </w:pPr>
      <w:r>
        <w:t>dilation_radius expands accepted masks after detection.</w:t>
      </w:r>
    </w:p>
    <w:p>
      <w:pPr>
        <w:pStyle w:val="ListBullet"/>
        <w:spacing w:after="80"/>
        <w:ind w:left="540" w:hanging="271"/>
      </w:pPr>
      <w:r>
        <w:t>max_area and max_elongation remove very large or highly elongated detections that are unlikely to be compact foreground objects.</w:t>
      </w:r>
    </w:p>
    <w:p>
      <w:pPr>
        <w:pStyle w:val="Heading2"/>
      </w:pPr>
      <w:r>
        <w:t>SEP</w:t>
      </w:r>
    </w:p>
    <w:p>
      <w:r>
        <w:t>SEP supplies a source-extraction segmentation mask for the SEP runs. The optimiser searches SEP detection and deblending parameters, then applies the same style of area, elongation, and dilation post-filtering used in the interactive SEP tools.</w:t>
      </w:r>
    </w:p>
    <w:p>
      <w:pPr>
        <w:pStyle w:val="ListBullet"/>
        <w:spacing w:after="80"/>
        <w:ind w:left="540" w:hanging="271"/>
      </w:pPr>
      <w:r>
        <w:t>detect_thresh sets the detection threshold above the local background.</w:t>
      </w:r>
    </w:p>
    <w:p>
      <w:pPr>
        <w:pStyle w:val="ListBullet"/>
        <w:spacing w:after="80"/>
        <w:ind w:left="540" w:hanging="271"/>
      </w:pPr>
      <w:r>
        <w:t>minarea sets the minimum connected area needed to keep a detection.</w:t>
      </w:r>
    </w:p>
    <w:p>
      <w:pPr>
        <w:pStyle w:val="ListBullet"/>
        <w:spacing w:after="80"/>
        <w:ind w:left="540" w:hanging="271"/>
      </w:pPr>
      <w:r>
        <w:t>deblend_nthresh and deblend_cont control SEP source splitting.</w:t>
      </w:r>
    </w:p>
    <w:p>
      <w:pPr>
        <w:pStyle w:val="ListBullet"/>
        <w:spacing w:after="80"/>
        <w:ind w:left="540" w:hanging="271"/>
      </w:pPr>
      <w:r>
        <w:t>back_size and filter_size control background estimation and smoothing.</w:t>
      </w:r>
    </w:p>
    <w:p>
      <w:pPr>
        <w:pStyle w:val="ListBullet"/>
        <w:spacing w:after="80"/>
        <w:ind w:left="540" w:hanging="271"/>
      </w:pPr>
      <w:r>
        <w:t>dilation_radius expands accepted masks.</w:t>
      </w:r>
    </w:p>
    <w:p>
      <w:pPr>
        <w:pStyle w:val="ListBullet"/>
        <w:spacing w:after="80"/>
        <w:ind w:left="540" w:hanging="271"/>
      </w:pPr>
      <w:r>
        <w:t>max_area and max_elongation reject broad or stretched detections after SEP extraction.</w:t>
      </w:r>
    </w:p>
    <w:p>
      <w:pPr>
        <w:pStyle w:val="Heading1"/>
      </w:pPr>
      <w:r>
        <w:t>Optuna Optimisation and Scoring</w:t>
      </w:r>
    </w:p>
    <w:p>
      <w:r>
        <w:t>All four optimisers use Optuna with a TPE sampler and a fixed seed. initial-points are exploratory startup trials; max-iter is added to initial-points to define the intended total trial count. Lower objective values are better.</w:t>
      </w:r>
    </w:p>
    <w:p>
      <w:pPr>
        <w:pStyle w:val="Heading2"/>
      </w:pPr>
      <w:r>
        <w:t>Spike Gate Objective</w:t>
      </w:r>
    </w:p>
    <w:p>
      <w:r>
        <w:t>For SEP Spike Gate and MTObjects Spike Gate, Optuna minimises:</w:t>
      </w:r>
    </w:p>
    <w:p>
      <w:pPr>
        <w:pStyle w:val="CodeBlock"/>
      </w:pPr>
      <w:r>
        <w:t>objective = 12.0 * (1.0 - mean_spike_coverage)</w:t>
        <w:br/>
        <w:t xml:space="preserve">          + 4.0 * mean_non_spike_profile_fraction</w:t>
        <w:br/>
        <w:t xml:space="preserve">          + 2.0 * mean_masked_fraction</w:t>
        <w:br/>
        <w:t xml:space="preserve">          + 1.5 * mean_profile_affected_fraction</w:t>
        <w:br/>
        <w:t xml:space="preserve">          + 1.0 * mean_profile_change</w:t>
      </w:r>
    </w:p>
    <w:p>
      <w:r>
        <w:t>The high missed-spike weight makes spike coverage the dominant goal. The remaining terms choose the least destructive mask among parameter sets that cover the target spikes.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mean_spike_coverage</w:t>
            </w:r>
          </w:p>
        </w:tc>
        <w:tc>
          <w:tcPr>
            <w:tcW w:type="dxa" w:w="6660"/>
            <w:vAlign w:val="center"/>
          </w:tcPr>
          <w:p>
            <w:r>
              <w:t>Fraction of Spike Gate target samples covered by the two-dimensional mask. Higher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mean_non_spike_profile_fraction</w:t>
            </w:r>
          </w:p>
        </w:tc>
        <w:tc>
          <w:tcPr>
            <w:tcW w:type="dxa" w:w="6660"/>
            <w:vAlign w:val="center"/>
          </w:tcPr>
          <w:p>
            <w:r>
              <w:t>Fraction of non-spike profile samples masked. Lower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mean_masked_fraction</w:t>
            </w:r>
          </w:p>
        </w:tc>
        <w:tc>
          <w:tcPr>
            <w:tcW w:type="dxa" w:w="6660"/>
            <w:vAlign w:val="center"/>
          </w:tcPr>
          <w:p>
            <w:r>
              <w:t>Fraction of image pixels masked. Lower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mean_profile_affected_fraction</w:t>
            </w:r>
          </w:p>
        </w:tc>
        <w:tc>
          <w:tcPr>
            <w:tcW w:type="dxa" w:w="6660"/>
            <w:vAlign w:val="center"/>
          </w:tcPr>
          <w:p>
            <w:r>
              <w:t>Fraction of profile samples touched by the mask. Lower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mean_profile_change</w:t>
            </w:r>
          </w:p>
        </w:tc>
        <w:tc>
          <w:tcPr>
            <w:tcW w:type="dxa" w:w="6660"/>
            <w:vAlign w:val="center"/>
          </w:tcPr>
          <w:p>
            <w:r>
              <w:t>Mean absolute profile change after masking/interpolation. Lower is better.</w:t>
            </w:r>
          </w:p>
        </w:tc>
      </w:tr>
    </w:tbl>
    <w:p>
      <w:pPr>
        <w:pStyle w:val="SmallNote"/>
      </w:pPr>
    </w:p>
    <w:p>
      <w:pPr>
        <w:pStyle w:val="Heading2"/>
      </w:pPr>
      <w:r>
        <w:t>Toy-Object Score</w:t>
      </w:r>
    </w:p>
    <w:p>
      <w:r/>
      <w:r>
        <w:rPr>
          <w:rFonts w:ascii="Calibri" w:hAnsi="Calibri"/>
          <w:sz w:val="22"/>
        </w:rPr>
        <w:t>SEP and MTObjects now use separate Toy Objects objectives. Both score only incremental masking beyond the unaltered baseline and retain a 15% worst-image masking cap. Optuna minimises the negative feasible score; MTObjects additionally applies explicit recovery infeasibility and final cross-fold release gates:</w:t>
      </w:r>
    </w:p>
    <w:p>
      <w:pPr>
        <w:pStyle w:val="CodeBlock"/>
      </w:pPr>
      <w:r/>
      <w:r>
        <w:rPr>
          <w:rFonts w:ascii="Calibri" w:hAnsi="Calibri"/>
          <w:sz w:val="22"/>
        </w:rPr>
        <w:t>SEP: recovery = 0.45 mean recall + 0.20 mean F-score + 0.25 mean toy recall + 0.20 toy detection rate; loss = 0.35 mean masked fraction + 0.05 false-positive fraction. MTObjects: recovery = 0.45 mean F-score + 0.35 mean toy recall + 0.20 toy detection rate; loss = 0.50 mean masked fraction + 0.10 false-positive fraction. MTObjects trials are infeasible for an empty incremental mask, toy detection below 25%, or mean toy recall below 20%.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mean_f_score</w:t>
            </w:r>
          </w:p>
        </w:tc>
        <w:tc>
          <w:tcPr>
            <w:tcW w:type="dxa" w:w="6660"/>
            <w:vAlign w:val="center"/>
          </w:tcPr>
          <w:p>
            <w:r>
              <w:t>Balance of truth-pixel recall and precision for the incremental candidate mask.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mean_toy_recall</w:t>
            </w:r>
          </w:p>
        </w:tc>
        <w:tc>
          <w:tcPr>
            <w:tcW w:type="dxa" w:w="6660"/>
            <w:vAlign w:val="center"/>
          </w:tcPr>
          <w:p>
            <w:r>
              <w:t>Mean fraction of injected truth pixels recovered.</w:t>
            </w:r>
          </w:p>
        </w:tc>
      </w:tr>
      <w:tr>
        <w:tc>
          <w:tcPr>
            <w:tcW w:type="dxa" w:w="2700"/>
            <w:vAlign w:val="center"/>
          </w:tcPr>
          <w:p>
            <w:r>
              <w:t>toy_detection_rate</w:t>
            </w:r>
          </w:p>
        </w:tc>
        <w:tc>
          <w:tcPr>
            <w:tcW w:type="dxa" w:w="6660"/>
            <w:vAlign w:val="center"/>
          </w:tcPr>
          <w:p>
            <w:r>
              <w:t>Fraction of injected objects with any recovered overlap.</w:t>
            </w:r>
          </w:p>
        </w:tc>
      </w:tr>
      <w:tr>
        <w:tc>
          <w:tcPr>
            <w:tcW w:type="dxa" w:w="2700"/>
            <w:vAlign w:val="center"/>
          </w:tcPr>
          <w:p>
            <w:r>
              <w:t>false_positive_fraction</w:t>
            </w:r>
          </w:p>
        </w:tc>
        <w:tc>
          <w:tcPr>
            <w:tcW w:type="dxa" w:w="6660"/>
            <w:vAlign w:val="center"/>
          </w:tcPr>
          <w:p>
            <w:r>
              <w:t>Incremental mask pixels outside injected truth, capped in the score penalty.</w:t>
            </w:r>
          </w:p>
        </w:tc>
      </w:tr>
    </w:tbl>
    <w:p>
      <w:pPr>
        <w:pStyle w:val="SmallNote"/>
      </w:pPr>
    </w:p>
    <w:p>
      <w:pPr>
        <w:pStyle w:val="Heading1"/>
      </w:pPr>
      <w:r>
        <w:t>Run Commands</w:t>
      </w:r>
    </w:p>
    <w:p>
      <w:r>
        <w:t>Run from C:\Users\gordo\Documents\Github\PythonScripts unless you pass fully qualified paths.</w:t>
      </w:r>
    </w:p>
    <w:p>
      <w:pPr>
        <w:pStyle w:val="Heading3"/>
      </w:pPr>
      <w:r>
        <w:t>SEP Spike Gate initial run</w:t>
      </w:r>
    </w:p>
    <w:p>
      <w:pPr>
        <w:pStyle w:val="CodeBlock"/>
      </w:pPr>
      <w:r>
        <w:t>python "Foreground Masking\optimise_sep_spike_gate_parameters.py" --max-images 20 --initial-points 16 --max-iter 64</w:t>
      </w:r>
    </w:p>
    <w:p>
      <w:pPr>
        <w:pStyle w:val="Heading3"/>
      </w:pPr>
      <w:r>
        <w:t>SEP Spike Gate resume run</w:t>
      </w:r>
    </w:p>
    <w:p>
      <w:pPr>
        <w:pStyle w:val="CodeBlock"/>
      </w:pPr>
      <w:r>
        <w:t>python "Foreground Masking\optimise_sep_spike_gate_parameters.py" --resume-output-dir "D:\Dropbox\Public Documents\UCLAN\MSc Research\Remove foreground objects\sep spike optimisation\YYYYMMDD_HHMMSS" --max-images 20 --initial-points 16 --max-iter 64</w:t>
      </w:r>
    </w:p>
    <w:p>
      <w:pPr>
        <w:pStyle w:val="Heading3"/>
      </w:pPr>
      <w:r>
        <w:t>MTObjects Spike Gate initial run</w:t>
      </w:r>
    </w:p>
    <w:p>
      <w:pPr>
        <w:pStyle w:val="CodeBlock"/>
      </w:pPr>
      <w:r>
        <w:t>python "Foreground Masking\optimise_mtobjects_spike_gate_parameters.py" --max-images 20 --initial-points 12 --max-iter 48 --spike-gate-detect-on residual --mtobjects-detect-on original</w:t>
      </w:r>
    </w:p>
    <w:p>
      <w:pPr>
        <w:pStyle w:val="Heading3"/>
      </w:pPr>
      <w:r>
        <w:t>MTObjects Spike Gate resume run</w:t>
      </w:r>
    </w:p>
    <w:p>
      <w:pPr>
        <w:pStyle w:val="CodeBlock"/>
      </w:pPr>
      <w:r>
        <w:t>python "Foreground Masking\optimise_mtobjects_spike_gate_parameters.py" --resume-output-dir "D:\Dropbox\Public Documents\UCLAN\MSc Research\Remove foreground objects\mtobjects spike optimisation\YYYYMMDD_HHMMSS" --max-images 20 --initial-points 12 --max-iter 48 --spike-gate-detect-on residual --mtobjects-detect-on original</w:t>
      </w:r>
    </w:p>
    <w:p>
      <w:pPr>
        <w:pStyle w:val="Heading3"/>
      </w:pPr>
      <w:r>
        <w:t>MTObjects toy-object run</w:t>
      </w:r>
    </w:p>
    <w:p>
      <w:pPr>
        <w:pStyle w:val="CodeBlock"/>
      </w:pPr>
      <w:r>
        <w:t>python "Foreground Masking\mtobjects_toy_object_parameter_optimisation.py" --max-images 20 --toys-per-image 6 --initial-points 8 --max-iter 32 --mtobjects-detect-on original</w:t>
      </w:r>
    </w:p>
    <w:p>
      <w:pPr>
        <w:pStyle w:val="Heading3"/>
      </w:pPr>
      <w:r>
        <w:t>SEP toy-object run</w:t>
      </w:r>
    </w:p>
    <w:p>
      <w:pPr>
        <w:pStyle w:val="CodeBlock"/>
      </w:pPr>
      <w:r>
        <w:t>python "Foreground Masking\Optimisation\cross_validate_toy_objects_SEP.py" --detect-on original --trials-per-fold 40</w:t>
      </w:r>
    </w:p>
    <w:p>
      <w:pPr>
        <w:pStyle w:val="Heading1"/>
      </w:pPr>
      <w:r>
        <w:t>Outputs and Workbook Logging</w:t>
      </w:r>
    </w:p>
    <w:p>
      <w:pPr>
        <w:pStyle w:val="ListBullet"/>
        <w:spacing w:after="80"/>
        <w:ind w:left="540" w:hanging="271"/>
      </w:pPr>
      <w:r>
        <w:t>Each run creates a timestamped output directory under the relevant optimisation folder unless --output-dir or --resume-output-dir is supplied.</w:t>
      </w:r>
    </w:p>
    <w:p>
      <w:pPr>
        <w:pStyle w:val="ListBullet"/>
        <w:spacing w:after="80"/>
        <w:ind w:left="540" w:hanging="271"/>
      </w:pPr>
      <w:r>
        <w:t>Each optimiser writes a summary CSV with one row per trial and a details CSV with per-galaxy or per-toy-object metrics.</w:t>
      </w:r>
    </w:p>
    <w:p>
      <w:pPr>
        <w:pStyle w:val="ListBullet"/>
        <w:spacing w:after="80"/>
        <w:ind w:left="540" w:hanging="271"/>
      </w:pPr>
      <w:r>
        <w:t>Each optimiser writes a best JSON containing the current best objective/score and the associated parameter set.</w:t>
      </w:r>
    </w:p>
    <w:p>
      <w:pPr>
        <w:pStyle w:val="ListBullet"/>
        <w:spacing w:after="80"/>
        <w:ind w:left="540" w:hanging="271"/>
      </w:pPr>
      <w:r>
        <w:t>Spike Gate runs also write a cases CSV; toy-object runs write a toys CSV catalogue.</w:t>
      </w:r>
    </w:p>
    <w:p>
      <w:pPr>
        <w:pStyle w:val="ListBullet"/>
        <w:spacing w:after="80"/>
        <w:ind w:left="540" w:hanging="271"/>
      </w:pPr>
      <w:r>
        <w:t>At the end of a non-prepare-only run, the optimiser appends its summary rows to the shared XLSX workbook.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00"/>
        <w:gridCol w:w="5860"/>
      </w:tblGrid>
      <w:tr>
        <w:tc>
          <w:tcPr>
            <w:tcW w:type="dxa" w:w="3500"/>
            <w:shd w:fill="E8EEF5"/>
            <w:vAlign w:val="center"/>
          </w:tcPr>
          <w:p>
            <w:r>
              <w:rPr>
                <w:b/>
                <w:color w:val="0B2545"/>
              </w:rPr>
              <w:t>Worksheet</w:t>
            </w:r>
          </w:p>
        </w:tc>
        <w:tc>
          <w:tcPr>
            <w:tcW w:type="dxa" w:w="5860"/>
            <w:shd w:fill="E8EEF5"/>
            <w:vAlign w:val="center"/>
          </w:tcPr>
          <w:p>
            <w:r>
              <w:rPr>
                <w:b/>
                <w:color w:val="0B2545"/>
              </w:rPr>
              <w:t>Rows currently backfilled</w:t>
            </w:r>
          </w:p>
        </w:tc>
      </w:tr>
      <w:tr>
        <w:tc>
          <w:tcPr>
            <w:tcW w:type="dxa" w:w="3500"/>
            <w:vAlign w:val="center"/>
          </w:tcPr>
          <w:p>
            <w:r>
              <w:t>MTObjects Spike Gate</w:t>
            </w:r>
          </w:p>
        </w:tc>
        <w:tc>
          <w:tcPr>
            <w:tcW w:type="dxa" w:w="5860"/>
            <w:vAlign w:val="center"/>
          </w:tcPr>
          <w:p>
            <w:r>
              <w:t>120 trial rows from two completed runs</w:t>
            </w:r>
          </w:p>
        </w:tc>
      </w:tr>
      <w:tr>
        <w:tc>
          <w:tcPr>
            <w:tcW w:type="dxa" w:w="3500"/>
            <w:vAlign w:val="center"/>
          </w:tcPr>
          <w:p>
            <w:r>
              <w:t>SEP Spike Gate</w:t>
            </w:r>
          </w:p>
        </w:tc>
        <w:tc>
          <w:tcPr>
            <w:tcW w:type="dxa" w:w="5860"/>
            <w:vAlign w:val="center"/>
          </w:tcPr>
          <w:p>
            <w:r>
              <w:t>1 trial row from the run currently present</w:t>
            </w:r>
          </w:p>
        </w:tc>
      </w:tr>
      <w:tr>
        <w:tc>
          <w:tcPr>
            <w:tcW w:type="dxa" w:w="3500"/>
            <w:vAlign w:val="center"/>
          </w:tcPr>
          <w:p>
            <w:r>
              <w:t>MTObjects Toy Object</w:t>
            </w:r>
          </w:p>
        </w:tc>
        <w:tc>
          <w:tcPr>
            <w:tcW w:type="dxa" w:w="5860"/>
            <w:vAlign w:val="center"/>
          </w:tcPr>
          <w:p>
            <w:r>
              <w:t>Corrected runs append automatically; pre-2026-07-22 whole-FITS toy outputs are superseded.</w:t>
            </w:r>
          </w:p>
        </w:tc>
      </w:tr>
      <w:tr>
        <w:tc>
          <w:tcPr>
            <w:tcW w:type="dxa" w:w="3500"/>
            <w:vAlign w:val="center"/>
          </w:tcPr>
          <w:p>
            <w:r>
              <w:t>SEP Toy Object</w:t>
            </w:r>
          </w:p>
        </w:tc>
        <w:tc>
          <w:tcPr>
            <w:tcW w:type="dxa" w:w="5860"/>
            <w:vAlign w:val="center"/>
          </w:tcPr>
          <w:p>
            <w:r>
              <w:t>Corrected runs append automatically; use the 2026-07-22 investigated-area run or later.</w:t>
            </w:r>
          </w:p>
        </w:tc>
      </w:tr>
    </w:tbl>
    <w:p>
      <w:pPr>
        <w:pStyle w:val="SmallNote"/>
      </w:pPr>
    </w:p>
    <w:p>
      <w:r>
        <w:t>The workbook columns include algorithm, method, run_datetime, run_dir, source file paths, best objective/score, best_params_json, config_* run settings, trial parameter columns, and trial result columns.</w:t>
      </w:r>
    </w:p>
    <w:p>
      <w:pPr>
        <w:pStyle w:val="Heading1"/>
      </w:pPr>
      <w:r>
        <w:t>Important Limitations</w:t>
      </w:r>
    </w:p>
    <w:p>
      <w:pPr>
        <w:pStyle w:val="ListBullet"/>
        <w:spacing w:after="80"/>
        <w:ind w:left="540" w:hanging="271"/>
      </w:pPr>
      <w:r>
        <w:t>Spike Gate only rewards removal of foreground structure represented as selected profile spikes. Real foreground objects outside those samples are only indirectly handled by the masking algorithm and data-loss penalties.</w:t>
      </w:r>
    </w:p>
    <w:p>
      <w:pPr>
        <w:pStyle w:val="ListBullet"/>
        <w:spacing w:after="80"/>
        <w:ind w:left="540" w:hanging="271"/>
      </w:pPr>
      <w:r>
        <w:t>Toy-object optimisation answers a different question: recovery of known injected compact objects inside the investigated galaxy cutout. It is useful for general object-recovery behaviour but is not a direct spike-removal objective.</w:t>
      </w:r>
    </w:p>
    <w:p>
      <w:pPr>
        <w:pStyle w:val="ListBullet"/>
        <w:spacing w:after="80"/>
        <w:ind w:left="540" w:hanging="271"/>
      </w:pPr>
      <w:r>
        <w:t>Changing detect-on from residual to original can change the optimum because the segmentation input image changes.</w:t>
      </w:r>
    </w:p>
    <w:p>
      <w:pPr>
        <w:pStyle w:val="ListBullet"/>
        <w:spacing w:after="80"/>
        <w:ind w:left="540" w:hanging="271"/>
      </w:pPr>
      <w:r>
        <w:t>The SEP and MTObjects toy-object optimisers now enforce the investigated-area injection rule. Any older toy-object run created before 2026-07-22 should be rerun before using its best parameters as production defaults.</w:t>
      </w:r>
    </w:p>
    <w:p>
      <w:pPr>
        <w:pStyle w:val="Heading1"/>
        <w:keepNext/>
        <w:pageBreakBefore w:val="0"/>
      </w:pPr>
      <w:r>
        <w:t>Systematic documentation review - 17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Updated - current Toy Objects optimisation process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The shared pre-follow-up Toy Objects score was replaced by separate SEP and MTObjects objective definitions. Four-fold candidate evaluation, recovery feasibility and release-gate behaviour were added.</w:t>
      </w:r>
    </w:p>
    <w:p>
      <w:pPr>
        <w:spacing w:after="80"/>
      </w:pPr>
      <w:r>
        <w:t>Current interpretation: the final corrected comparison uses SEP on the original science image only. MTObjects is the recommended primary production method because it achieved higher held-out toy recovery and a safer upper masking tail; SEP remains an independent gated diagnostic.</w:t>
      </w:r>
    </w:p>
    <w:p>
      <w:pPr>
        <w:spacing w:after="0"/>
      </w:pPr>
      <w:r>
        <w:t>Authoritative combined outcome: SEP and MTObjects Masking Comparison and Recommendations 20260817.docx. Full optimisation history and final science-image SEP fold records: Foreground Masking Optimisation Results.xlsx.</w:t>
      </w:r>
    </w:p>
    <w:p>
      <w:r>
        <w:t>Current four-fold design: 40 validated galaxies; four rotations of 30 training and 10 held out; 40 trials per fold (8 startup + 32 TPE); candidates compared on the same common-40 injection set. Selected winners: science-image SEP fold 4 (run 20260817_161404) and MTObjects fold 3 (run 20260816_063455).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Updated 2026-07-22 09:36:41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Foreground masking optimisation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216"/>
    </w:pPr>
    <w:rPr>
      <w:rFonts w:ascii="Consolas" w:hAnsi="Consolas" w:eastAsia="Consolas"/>
      <w:sz w:val="18"/>
    </w:rPr>
  </w:style>
  <w:style w:type="paragraph" w:customStyle="1" w:styleId="SmallNote">
    <w:name w:val="Small Note"/>
    <w:pPr>
      <w:spacing w:after="80" w:line="276" w:lineRule="auto"/>
    </w:pPr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