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Spike Gate Samples Explained</w:t>
      </w:r>
    </w:p>
    <w:p>
      <w:pPr/>
      <w:r>
        <w:t>Narrative guide to the bar-major profile spike gate used by bar_spike_gated_foreground_report.py.</w:t>
      </w:r>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One-sentence summary:</w:t>
            </w:r>
            <w:r>
              <w:rPr>
                <w:sz w:val="21"/>
              </w:rPr>
              <w:t xml:space="preserve"> the spike gate marks narrow, local, off-centre brightness peaks in the bar-major profile, then keeps only foreground-candidate mask segments that intersect those marked profile samples.</w:t>
            </w:r>
          </w:p>
        </w:tc>
      </w:tr>
    </w:tbl>
    <w:p/>
    <w:p>
      <w:pPr>
        <w:pStyle w:val="Heading1"/>
      </w:pPr>
      <w:r>
        <w:t>Why the spike gate exists</w:t>
      </w:r>
    </w:p>
    <w:p>
      <w:pPr/>
      <w:r>
        <w:t>Foreground stars and compact artefacts often appear as narrow positive spikes when the galaxy image is sampled along the bar major axis. Real galaxy structure can also be bright, but it usually changes more gradually. The spike gate tries to separate those cases before deciding which residual-image segments should be used as a foreground mask.</w:t>
      </w:r>
    </w:p>
    <w:p>
      <w:pPr>
        <w:jc w:val="center"/>
      </w:pPr>
      <w:r>
        <w:drawing>
          <wp:inline xmlns:a="http://schemas.openxmlformats.org/drawingml/2006/main" xmlns:pic="http://schemas.openxmlformats.org/drawingml/2006/picture">
            <wp:extent cx="6035040" cy="2430780"/>
            <wp:docPr id="1" name="Picture 1"/>
            <wp:cNvGraphicFramePr>
              <a:graphicFrameLocks noChangeAspect="1"/>
            </wp:cNvGraphicFramePr>
            <a:graphic>
              <a:graphicData uri="http://schemas.openxmlformats.org/drawingml/2006/picture">
                <pic:pic>
                  <pic:nvPicPr>
                    <pic:cNvPr id="0" name="spike_gate_flow.png"/>
                    <pic:cNvPicPr/>
                  </pic:nvPicPr>
                  <pic:blipFill>
                    <a:blip r:embed="rId9"/>
                    <a:stretch>
                      <a:fillRect/>
                    </a:stretch>
                  </pic:blipFill>
                  <pic:spPr>
                    <a:xfrm>
                      <a:off x="0" y="0"/>
                      <a:ext cx="6035040" cy="2430780"/>
                    </a:xfrm>
                    <a:prstGeom prst="rect"/>
                  </pic:spPr>
                </pic:pic>
              </a:graphicData>
            </a:graphic>
          </wp:inline>
        </w:drawing>
      </w:r>
    </w:p>
    <w:p>
      <w:pPr>
        <w:jc w:val="center"/>
      </w:pPr>
      <w:r>
        <w:rPr>
          <w:i/>
          <w:color w:val="5B6775"/>
          <w:sz w:val="18"/>
        </w:rPr>
        <w:t>Figure 1. Overall spike-gated masking flow.</w:t>
      </w:r>
    </w:p>
    <w:p>
      <w:pPr>
        <w:pStyle w:val="Heading1"/>
      </w:pPr>
      <w:r>
        <w:t>What is a spike sample?</w:t>
      </w:r>
    </w:p>
    <w:p>
      <w:pPr/>
      <w:r>
        <w:t>The code inspects one profile sample at a time. A sample can become a spike only if it passes several tests: it must be finite and positive, it must not lie inside the central exclusion zone, it must be a local peak compared with its immediate neighbours, it must exceed a wider surrounding baseline, and it must drop away sharply over a short side offset.</w:t>
      </w:r>
    </w:p>
    <w:p>
      <w:pPr>
        <w:pStyle w:val="ListBullet"/>
      </w:pPr>
      <w:r>
        <w:t>Candidate sample: the profile value currently being tested.</w:t>
      </w:r>
    </w:p>
    <w:p>
      <w:pPr>
        <w:pStyle w:val="ListBullet"/>
      </w:pPr>
      <w:r>
        <w:t>Neighbour baseline: the median of profile samples a specified radial distance away from the candidate.</w:t>
      </w:r>
    </w:p>
    <w:p>
      <w:pPr>
        <w:pStyle w:val="ListBullet"/>
      </w:pPr>
      <w:r>
        <w:t>Side samples: two nearby samples, one on each side of the candidate, used to test whether the peak is narrow.</w:t>
      </w:r>
    </w:p>
    <w:p>
      <w:pPr>
        <w:pStyle w:val="ListBullet"/>
      </w:pPr>
      <w:r>
        <w:t>Expanded spike window: extra profile samples added around a detected spike so mask/profile intersections are not too brittle.</w:t>
      </w:r>
    </w:p>
    <w:p>
      <w:pPr>
        <w:pStyle w:val="Heading1"/>
      </w:pPr>
      <w:r>
        <w:t>The side-drop test</w:t>
      </w:r>
    </w:p>
    <w:p>
      <w:pPr/>
      <w:r>
        <w:t>The side-drop test is the most literal sharpness test. If the candidate is at index i, the code looks spike_side_offset_samples positions to the left and right. It takes the median of those two side values and requires the candidate to be brighter by spike_side_drop_fraction.</w:t>
      </w:r>
    </w:p>
    <w:p>
      <w:pPr/>
      <w:r>
        <w:t>In formula form: candidate &gt;= (1 + spike_side_drop_fraction) x median(left side sample, right side sample).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side_drop_test.png"/>
                    <pic:cNvPicPr/>
                  </pic:nvPicPr>
                  <pic:blipFill>
                    <a:blip r:embed="rId10"/>
                    <a:stretch>
                      <a:fillRect/>
                    </a:stretch>
                  </pic:blipFill>
                  <pic:spPr>
                    <a:xfrm>
                      <a:off x="0" y="0"/>
                      <a:ext cx="5852160" cy="2926080"/>
                    </a:xfrm>
                    <a:prstGeom prst="rect"/>
                  </pic:spPr>
                </pic:pic>
              </a:graphicData>
            </a:graphic>
          </wp:inline>
        </w:drawing>
      </w:r>
    </w:p>
    <w:p>
      <w:pPr>
        <w:jc w:val="center"/>
      </w:pPr>
      <w:r>
        <w:rPr>
          <w:i/>
          <w:color w:val="5B6775"/>
          <w:sz w:val="18"/>
        </w:rPr>
        <w:t>Figure 2. A candidate sample passing the side-drop test with offset = 2 and side-drop fraction = 0.20.</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1900"/>
        <w:gridCol w:w="48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9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8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600"/>
            <w:tcMar>
              <w:top w:w="80" w:type="dxa"/>
              <w:start w:w="120" w:type="dxa"/>
              <w:bottom w:w="80" w:type="dxa"/>
              <w:end w:w="120" w:type="dxa"/>
            </w:tcMar>
            <w:vAlign w:val="center"/>
          </w:tcPr>
          <w:p>
            <w:pPr>
              <w:spacing w:after="0" w:line="276" w:lineRule="auto"/>
            </w:pPr>
            <w:r>
              <w:rPr>
                <w:sz w:val="19"/>
              </w:rPr>
              <w:t>left side sample</w:t>
            </w:r>
          </w:p>
        </w:tc>
        <w:tc>
          <w:tcPr>
            <w:tcW w:type="dxa" w:w="1900"/>
            <w:tcMar>
              <w:top w:w="80" w:type="dxa"/>
              <w:start w:w="120" w:type="dxa"/>
              <w:bottom w:w="80" w:type="dxa"/>
              <w:end w:w="120" w:type="dxa"/>
            </w:tcMar>
            <w:vAlign w:val="center"/>
          </w:tcPr>
          <w:p>
            <w:pPr>
              <w:spacing w:after="0" w:line="276" w:lineRule="auto"/>
            </w:pPr>
            <w:r>
              <w:rPr>
                <w:sz w:val="19"/>
              </w:rPr>
              <w:t>108</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right side sample</w:t>
            </w:r>
          </w:p>
        </w:tc>
        <w:tc>
          <w:tcPr>
            <w:tcW w:type="dxa" w:w="1900"/>
            <w:tcMar>
              <w:top w:w="80" w:type="dxa"/>
              <w:start w:w="120" w:type="dxa"/>
              <w:bottom w:w="80" w:type="dxa"/>
              <w:end w:w="120" w:type="dxa"/>
            </w:tcMar>
            <w:vAlign w:val="center"/>
          </w:tcPr>
          <w:p>
            <w:pPr>
              <w:spacing w:after="0" w:line="276" w:lineRule="auto"/>
            </w:pPr>
            <w:r>
              <w:rPr>
                <w:sz w:val="19"/>
              </w:rPr>
              <w:t>109</w:t>
            </w:r>
          </w:p>
        </w:tc>
        <w:tc>
          <w:tcPr>
            <w:tcW w:type="dxa" w:w="4860"/>
            <w:tcMar>
              <w:top w:w="80" w:type="dxa"/>
              <w:start w:w="120" w:type="dxa"/>
              <w:bottom w:w="80" w:type="dxa"/>
              <w:end w:w="120" w:type="dxa"/>
            </w:tcMar>
            <w:vAlign w:val="center"/>
          </w:tcPr>
          <w:p>
            <w:pPr>
              <w:spacing w:after="0" w:line="276" w:lineRule="auto"/>
            </w:pPr>
            <w:r>
              <w:rPr>
                <w:sz w:val="19"/>
              </w:rPr>
              <w:t>Profile value at i + 2.</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 level</w:t>
            </w:r>
          </w:p>
        </w:tc>
        <w:tc>
          <w:tcPr>
            <w:tcW w:type="dxa" w:w="1900"/>
            <w:tcMar>
              <w:top w:w="80" w:type="dxa"/>
              <w:start w:w="120" w:type="dxa"/>
              <w:bottom w:w="80" w:type="dxa"/>
              <w:end w:w="120" w:type="dxa"/>
            </w:tcMar>
            <w:vAlign w:val="center"/>
          </w:tcPr>
          <w:p>
            <w:pPr>
              <w:spacing w:after="0" w:line="276" w:lineRule="auto"/>
            </w:pPr>
            <w:r>
              <w:rPr>
                <w:sz w:val="19"/>
              </w:rPr>
              <w:t>108.5</w:t>
            </w:r>
          </w:p>
        </w:tc>
        <w:tc>
          <w:tcPr>
            <w:tcW w:type="dxa" w:w="4860"/>
            <w:tcMar>
              <w:top w:w="80" w:type="dxa"/>
              <w:start w:w="120" w:type="dxa"/>
              <w:bottom w:w="80" w:type="dxa"/>
              <w:end w:w="120" w:type="dxa"/>
            </w:tcMar>
            <w:vAlign w:val="center"/>
          </w:tcPr>
          <w:p>
            <w:pPr>
              <w:spacing w:after="0" w:line="276" w:lineRule="auto"/>
            </w:pPr>
            <w:r>
              <w:rPr>
                <w:sz w:val="19"/>
              </w:rPr>
              <w:t>Median of the two side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side-drop fraction</w:t>
            </w:r>
          </w:p>
        </w:tc>
        <w:tc>
          <w:tcPr>
            <w:tcW w:type="dxa" w:w="1900"/>
            <w:tcMar>
              <w:top w:w="80" w:type="dxa"/>
              <w:start w:w="120" w:type="dxa"/>
              <w:bottom w:w="80" w:type="dxa"/>
              <w:end w:w="120" w:type="dxa"/>
            </w:tcMar>
            <w:vAlign w:val="center"/>
          </w:tcPr>
          <w:p>
            <w:pPr>
              <w:spacing w:after="0" w:line="276" w:lineRule="auto"/>
            </w:pPr>
            <w:r>
              <w:rPr>
                <w:sz w:val="19"/>
              </w:rPr>
              <w:t>0.20</w:t>
            </w:r>
          </w:p>
        </w:tc>
        <w:tc>
          <w:tcPr>
            <w:tcW w:type="dxa" w:w="4860"/>
            <w:tcMar>
              <w:top w:w="80" w:type="dxa"/>
              <w:start w:w="120" w:type="dxa"/>
              <w:bottom w:w="80" w:type="dxa"/>
              <w:end w:w="120" w:type="dxa"/>
            </w:tcMar>
            <w:vAlign w:val="center"/>
          </w:tcPr>
          <w:p>
            <w:pPr>
              <w:spacing w:after="0" w:line="276" w:lineRule="auto"/>
            </w:pPr>
            <w:r>
              <w:rPr>
                <w:sz w:val="19"/>
              </w:rPr>
              <w:t>Candidate must be 20% above the side level.</w:t>
            </w:r>
          </w:p>
        </w:tc>
      </w:tr>
      <w:tr>
        <w:trPr>
          <w:cantSplit/>
        </w:trPr>
        <w:tc>
          <w:tcPr>
            <w:tcW w:type="dxa" w:w="2600"/>
            <w:tcMar>
              <w:top w:w="80" w:type="dxa"/>
              <w:start w:w="120" w:type="dxa"/>
              <w:bottom w:w="80" w:type="dxa"/>
              <w:end w:w="120" w:type="dxa"/>
            </w:tcMar>
            <w:vAlign w:val="center"/>
          </w:tcPr>
          <w:p>
            <w:pPr>
              <w:spacing w:after="0" w:line="276" w:lineRule="auto"/>
            </w:pPr>
            <w:r>
              <w:rPr>
                <w:sz w:val="19"/>
              </w:rPr>
              <w:t>required candidate value</w:t>
            </w:r>
          </w:p>
        </w:tc>
        <w:tc>
          <w:tcPr>
            <w:tcW w:type="dxa" w:w="1900"/>
            <w:tcMar>
              <w:top w:w="80" w:type="dxa"/>
              <w:start w:w="120" w:type="dxa"/>
              <w:bottom w:w="80" w:type="dxa"/>
              <w:end w:w="120" w:type="dxa"/>
            </w:tcMar>
            <w:vAlign w:val="center"/>
          </w:tcPr>
          <w:p>
            <w:pPr>
              <w:spacing w:after="0" w:line="276" w:lineRule="auto"/>
            </w:pPr>
            <w:r>
              <w:rPr>
                <w:sz w:val="19"/>
              </w:rPr>
              <w:t>130.2</w:t>
            </w:r>
          </w:p>
        </w:tc>
        <w:tc>
          <w:tcPr>
            <w:tcW w:type="dxa" w:w="4860"/>
            <w:tcMar>
              <w:top w:w="80" w:type="dxa"/>
              <w:start w:w="120" w:type="dxa"/>
              <w:bottom w:w="80" w:type="dxa"/>
              <w:end w:w="120" w:type="dxa"/>
            </w:tcMar>
            <w:vAlign w:val="center"/>
          </w:tcPr>
          <w:p>
            <w:pPr>
              <w:spacing w:after="0" w:line="276" w:lineRule="auto"/>
            </w:pPr>
            <w:r>
              <w:rPr>
                <w:sz w:val="19"/>
              </w:rPr>
              <w:t>108.5 x 1.20.</w:t>
            </w:r>
          </w:p>
        </w:tc>
      </w:tr>
      <w:tr>
        <w:trPr>
          <w:cantSplit/>
        </w:trPr>
        <w:tc>
          <w:tcPr>
            <w:tcW w:type="dxa" w:w="2600"/>
            <w:tcMar>
              <w:top w:w="80" w:type="dxa"/>
              <w:start w:w="120" w:type="dxa"/>
              <w:bottom w:w="80" w:type="dxa"/>
              <w:end w:w="120" w:type="dxa"/>
            </w:tcMar>
            <w:vAlign w:val="center"/>
          </w:tcPr>
          <w:p>
            <w:pPr>
              <w:spacing w:after="0" w:line="276" w:lineRule="auto"/>
            </w:pPr>
            <w:r>
              <w:rPr>
                <w:sz w:val="19"/>
              </w:rPr>
              <w:t>actual candidate value</w:t>
            </w:r>
          </w:p>
        </w:tc>
        <w:tc>
          <w:tcPr>
            <w:tcW w:type="dxa" w:w="1900"/>
            <w:tcMar>
              <w:top w:w="80" w:type="dxa"/>
              <w:start w:w="120" w:type="dxa"/>
              <w:bottom w:w="80" w:type="dxa"/>
              <w:end w:w="120" w:type="dxa"/>
            </w:tcMar>
            <w:vAlign w:val="center"/>
          </w:tcPr>
          <w:p>
            <w:pPr>
              <w:spacing w:after="0" w:line="276" w:lineRule="auto"/>
            </w:pPr>
            <w:r>
              <w:rPr>
                <w:sz w:val="19"/>
              </w:rPr>
              <w:t>145</w:t>
            </w:r>
          </w:p>
        </w:tc>
        <w:tc>
          <w:tcPr>
            <w:tcW w:type="dxa" w:w="4860"/>
            <w:tcMar>
              <w:top w:w="80" w:type="dxa"/>
              <w:start w:w="120" w:type="dxa"/>
              <w:bottom w:w="80" w:type="dxa"/>
              <w:end w:w="120" w:type="dxa"/>
            </w:tcMar>
            <w:vAlign w:val="center"/>
          </w:tcPr>
          <w:p>
            <w:pPr>
              <w:spacing w:after="0" w:line="276" w:lineRule="auto"/>
            </w:pPr>
            <w:r>
              <w:rPr>
                <w:sz w:val="19"/>
              </w:rPr>
              <w:t>Passes, because 145 &gt;= 130.2.</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Interpretation:</w:t>
            </w:r>
            <w:r>
              <w:rPr>
                <w:sz w:val="21"/>
              </w:rPr>
              <w:t xml:space="preserve"> increasing spike_side_drop_fraction demands a pointier peak; decreasing it allows broader, gentler peaks to pass.</w:t>
            </w:r>
          </w:p>
        </w:tc>
      </w:tr>
    </w:tbl>
    <w:p/>
    <w:p>
      <w:pPr>
        <w:pStyle w:val="Heading1"/>
      </w:pPr>
      <w:r>
        <w:t>The wider neighbour baseline</w:t>
      </w:r>
    </w:p>
    <w:p>
      <w:pPr/>
      <w:r>
        <w:t>The side-drop test asks whether the peak is sharp close to the candidate. The wider neighbour-baseline test asks whether the candidate is high compared with its surrounding profile context. The code gathers samples whose distance from the candidate lies between spike_neighbour_inner_arcsec and spike_neighbour_outer_arcsec. It then requires the candidate to exceed the median of those neighbour samples by spike_excess_fraction.</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neighbour_zones.png"/>
                    <pic:cNvPicPr/>
                  </pic:nvPicPr>
                  <pic:blipFill>
                    <a:blip r:embed="rId11"/>
                    <a:stretch>
                      <a:fillRect/>
                    </a:stretch>
                  </pic:blipFill>
                  <pic:spPr>
                    <a:xfrm>
                      <a:off x="0" y="0"/>
                      <a:ext cx="5852160" cy="2926080"/>
                    </a:xfrm>
                    <a:prstGeom prst="rect"/>
                  </pic:spPr>
                </pic:pic>
              </a:graphicData>
            </a:graphic>
          </wp:inline>
        </w:drawing>
      </w:r>
    </w:p>
    <w:p>
      <w:pPr>
        <w:jc w:val="center"/>
      </w:pPr>
      <w:r>
        <w:rPr>
          <w:i/>
          <w:color w:val="5B6775"/>
          <w:sz w:val="18"/>
        </w:rPr>
        <w:t>Figure 3. The inner gap is ignored; neighbour samples come from the green zones.</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900"/>
        <w:gridCol w:w="1700"/>
        <w:gridCol w:w="4760"/>
      </w:tblGrid>
      <w:tr>
        <w:trPr>
          <w:tblHeader/>
          <w:cantSplit/>
        </w:trPr>
        <w:tc>
          <w:tcPr>
            <w:tcW w:type="dxa" w:w="2900"/>
            <w:shd w:fill="E8EEF5"/>
            <w:tcMar>
              <w:top w:w="80" w:type="dxa"/>
              <w:start w:w="120" w:type="dxa"/>
              <w:bottom w:w="80" w:type="dxa"/>
              <w:end w:w="120" w:type="dxa"/>
            </w:tcMar>
            <w:vAlign w:val="center"/>
          </w:tcPr>
          <w:p>
            <w:pPr>
              <w:spacing w:after="0" w:line="276" w:lineRule="auto"/>
              <w:jc w:val="left"/>
            </w:pPr>
            <w:r>
              <w:rPr>
                <w:b/>
                <w:color w:val="1F4D78"/>
                <w:sz w:val="19"/>
              </w:rPr>
              <w:t>Quantity</w:t>
            </w:r>
          </w:p>
        </w:tc>
        <w:tc>
          <w:tcPr>
            <w:tcW w:type="dxa" w:w="1700"/>
            <w:shd w:fill="E8EEF5"/>
            <w:tcMar>
              <w:top w:w="80" w:type="dxa"/>
              <w:start w:w="120" w:type="dxa"/>
              <w:bottom w:w="80" w:type="dxa"/>
              <w:end w:w="120" w:type="dxa"/>
            </w:tcMar>
            <w:vAlign w:val="center"/>
          </w:tcPr>
          <w:p>
            <w:pPr>
              <w:spacing w:after="0" w:line="276" w:lineRule="auto"/>
              <w:jc w:val="left"/>
            </w:pPr>
            <w:r>
              <w:rPr>
                <w:b/>
                <w:color w:val="1F4D78"/>
                <w:sz w:val="19"/>
              </w:rPr>
              <w:t>Example value</w:t>
            </w:r>
          </w:p>
        </w:tc>
        <w:tc>
          <w:tcPr>
            <w:tcW w:type="dxa" w:w="4760"/>
            <w:shd w:fill="E8EEF5"/>
            <w:tcMar>
              <w:top w:w="80" w:type="dxa"/>
              <w:start w:w="120" w:type="dxa"/>
              <w:bottom w:w="80" w:type="dxa"/>
              <w:end w:w="120" w:type="dxa"/>
            </w:tcMar>
            <w:vAlign w:val="center"/>
          </w:tcPr>
          <w:p>
            <w:pPr>
              <w:spacing w:after="0" w:line="276" w:lineRule="auto"/>
              <w:jc w:val="left"/>
            </w:pPr>
            <w:r>
              <w:rPr>
                <w:b/>
                <w:color w:val="1F4D78"/>
                <w:sz w:val="19"/>
              </w:rPr>
              <w:t>Meaning</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spike_neighbour_inner_arcsec</w:t>
            </w:r>
          </w:p>
        </w:tc>
        <w:tc>
          <w:tcPr>
            <w:tcW w:type="dxa" w:w="1700"/>
            <w:tcMar>
              <w:top w:w="80" w:type="dxa"/>
              <w:start w:w="120" w:type="dxa"/>
              <w:bottom w:w="80" w:type="dxa"/>
              <w:end w:w="120" w:type="dxa"/>
            </w:tcMar>
            <w:vAlign w:val="center"/>
          </w:tcPr>
          <w:p>
            <w:pPr>
              <w:spacing w:after="0" w:line="276" w:lineRule="auto"/>
            </w:pPr>
            <w:r>
              <w:rPr>
                <w:sz w:val="19"/>
              </w:rPr>
              <w:t>4 arcsec</w:t>
            </w:r>
          </w:p>
        </w:tc>
        <w:tc>
          <w:tcPr>
            <w:tcW w:type="dxa" w:w="4760"/>
            <w:tcMar>
              <w:top w:w="80" w:type="dxa"/>
              <w:start w:w="120" w:type="dxa"/>
              <w:bottom w:w="80" w:type="dxa"/>
              <w:end w:w="120" w:type="dxa"/>
            </w:tcMar>
            <w:vAlign w:val="center"/>
          </w:tcPr>
          <w:p>
            <w:pPr>
              <w:spacing w:after="0" w:line="276" w:lineRule="auto"/>
            </w:pPr>
            <w:r>
              <w:rPr>
                <w:sz w:val="19"/>
              </w:rPr>
              <w:t>Samples closer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spike_neighbour_outer_arcsec</w:t>
            </w:r>
          </w:p>
        </w:tc>
        <w:tc>
          <w:tcPr>
            <w:tcW w:type="dxa" w:w="1700"/>
            <w:tcMar>
              <w:top w:w="80" w:type="dxa"/>
              <w:start w:w="120" w:type="dxa"/>
              <w:bottom w:w="80" w:type="dxa"/>
              <w:end w:w="120" w:type="dxa"/>
            </w:tcMar>
            <w:vAlign w:val="center"/>
          </w:tcPr>
          <w:p>
            <w:pPr>
              <w:spacing w:after="0" w:line="276" w:lineRule="auto"/>
            </w:pPr>
            <w:r>
              <w:rPr>
                <w:sz w:val="19"/>
              </w:rPr>
              <w:t>15 arcsec</w:t>
            </w:r>
          </w:p>
        </w:tc>
        <w:tc>
          <w:tcPr>
            <w:tcW w:type="dxa" w:w="4760"/>
            <w:tcMar>
              <w:top w:w="80" w:type="dxa"/>
              <w:start w:w="120" w:type="dxa"/>
              <w:bottom w:w="80" w:type="dxa"/>
              <w:end w:w="120" w:type="dxa"/>
            </w:tcMar>
            <w:vAlign w:val="center"/>
          </w:tcPr>
          <w:p>
            <w:pPr>
              <w:spacing w:after="0" w:line="276" w:lineRule="auto"/>
            </w:pPr>
            <w:r>
              <w:rPr>
                <w:sz w:val="19"/>
              </w:rPr>
              <w:t>Samples farther than this are not part of the baseline.</w:t>
            </w:r>
          </w:p>
        </w:tc>
      </w:tr>
      <w:tr>
        <w:trPr>
          <w:cantSplit/>
        </w:trPr>
        <w:tc>
          <w:tcPr>
            <w:tcW w:type="dxa" w:w="2900"/>
            <w:tcMar>
              <w:top w:w="80" w:type="dxa"/>
              <w:start w:w="120" w:type="dxa"/>
              <w:bottom w:w="80" w:type="dxa"/>
              <w:end w:w="120" w:type="dxa"/>
            </w:tcMar>
            <w:vAlign w:val="center"/>
          </w:tcPr>
          <w:p>
            <w:pPr>
              <w:spacing w:after="0" w:line="276" w:lineRule="auto"/>
            </w:pPr>
            <w:r>
              <w:rPr>
                <w:sz w:val="19"/>
              </w:rPr>
              <w:t>neighbour median</w:t>
            </w:r>
          </w:p>
        </w:tc>
        <w:tc>
          <w:tcPr>
            <w:tcW w:type="dxa" w:w="1700"/>
            <w:tcMar>
              <w:top w:w="80" w:type="dxa"/>
              <w:start w:w="120" w:type="dxa"/>
              <w:bottom w:w="80" w:type="dxa"/>
              <w:end w:w="120" w:type="dxa"/>
            </w:tcMar>
            <w:vAlign w:val="center"/>
          </w:tcPr>
          <w:p>
            <w:pPr>
              <w:spacing w:after="0" w:line="276" w:lineRule="auto"/>
            </w:pPr>
            <w:r>
              <w:rPr>
                <w:sz w:val="19"/>
              </w:rPr>
              <w:t>100</w:t>
            </w:r>
          </w:p>
        </w:tc>
        <w:tc>
          <w:tcPr>
            <w:tcW w:type="dxa" w:w="4760"/>
            <w:tcMar>
              <w:top w:w="80" w:type="dxa"/>
              <w:start w:w="120" w:type="dxa"/>
              <w:bottom w:w="80" w:type="dxa"/>
              <w:end w:w="120" w:type="dxa"/>
            </w:tcMar>
            <w:vAlign w:val="center"/>
          </w:tcPr>
          <w:p>
            <w:pPr>
              <w:spacing w:after="0" w:line="276" w:lineRule="auto"/>
            </w:pPr>
            <w:r>
              <w:rPr>
                <w:sz w:val="19"/>
              </w:rPr>
              <w:t>Typical surrounding profile level.</w:t>
            </w:r>
          </w:p>
        </w:tc>
      </w:tr>
      <w:tr>
        <w:trPr>
          <w:cantSplit/>
        </w:trPr>
        <w:tc>
          <w:tcPr>
            <w:tcW w:type="dxa" w:w="2900"/>
            <w:tcMar>
              <w:top w:w="80" w:type="dxa"/>
              <w:start w:w="120" w:type="dxa"/>
              <w:bottom w:w="80" w:type="dxa"/>
              <w:end w:w="120" w:type="dxa"/>
            </w:tcMar>
            <w:vAlign w:val="center"/>
          </w:tcPr>
          <w:p>
            <w:pPr>
              <w:spacing w:after="0" w:line="276" w:lineRule="auto"/>
            </w:pPr>
            <w:r>
              <w:rPr>
                <w:sz w:val="19"/>
              </w:rPr>
              <w:t>spike_excess_fraction</w:t>
            </w:r>
          </w:p>
        </w:tc>
        <w:tc>
          <w:tcPr>
            <w:tcW w:type="dxa" w:w="1700"/>
            <w:tcMar>
              <w:top w:w="80" w:type="dxa"/>
              <w:start w:w="120" w:type="dxa"/>
              <w:bottom w:w="80" w:type="dxa"/>
              <w:end w:w="120" w:type="dxa"/>
            </w:tcMar>
            <w:vAlign w:val="center"/>
          </w:tcPr>
          <w:p>
            <w:pPr>
              <w:spacing w:after="0" w:line="276" w:lineRule="auto"/>
            </w:pPr>
            <w:r>
              <w:rPr>
                <w:sz w:val="19"/>
              </w:rPr>
              <w:t>0.25</w:t>
            </w:r>
          </w:p>
        </w:tc>
        <w:tc>
          <w:tcPr>
            <w:tcW w:type="dxa" w:w="4760"/>
            <w:tcMar>
              <w:top w:w="80" w:type="dxa"/>
              <w:start w:w="120" w:type="dxa"/>
              <w:bottom w:w="80" w:type="dxa"/>
              <w:end w:w="120" w:type="dxa"/>
            </w:tcMar>
            <w:vAlign w:val="center"/>
          </w:tcPr>
          <w:p>
            <w:pPr>
              <w:spacing w:after="0" w:line="276" w:lineRule="auto"/>
            </w:pPr>
            <w:r>
              <w:rPr>
                <w:sz w:val="19"/>
              </w:rPr>
              <w:t>Candidate must be 25% above the neighbour median.</w:t>
            </w:r>
          </w:p>
        </w:tc>
      </w:tr>
      <w:tr>
        <w:trPr>
          <w:cantSplit/>
        </w:trPr>
        <w:tc>
          <w:tcPr>
            <w:tcW w:type="dxa" w:w="2900"/>
            <w:tcMar>
              <w:top w:w="80" w:type="dxa"/>
              <w:start w:w="120" w:type="dxa"/>
              <w:bottom w:w="80" w:type="dxa"/>
              <w:end w:w="120" w:type="dxa"/>
            </w:tcMar>
            <w:vAlign w:val="center"/>
          </w:tcPr>
          <w:p>
            <w:pPr>
              <w:spacing w:after="0" w:line="276" w:lineRule="auto"/>
            </w:pPr>
            <w:r>
              <w:rPr>
                <w:sz w:val="19"/>
              </w:rPr>
              <w:t>required candidate value</w:t>
            </w:r>
          </w:p>
        </w:tc>
        <w:tc>
          <w:tcPr>
            <w:tcW w:type="dxa" w:w="1700"/>
            <w:tcMar>
              <w:top w:w="80" w:type="dxa"/>
              <w:start w:w="120" w:type="dxa"/>
              <w:bottom w:w="80" w:type="dxa"/>
              <w:end w:w="120" w:type="dxa"/>
            </w:tcMar>
            <w:vAlign w:val="center"/>
          </w:tcPr>
          <w:p>
            <w:pPr>
              <w:spacing w:after="0" w:line="276" w:lineRule="auto"/>
            </w:pPr>
            <w:r>
              <w:rPr>
                <w:sz w:val="19"/>
              </w:rPr>
              <w:t>125</w:t>
            </w:r>
          </w:p>
        </w:tc>
        <w:tc>
          <w:tcPr>
            <w:tcW w:type="dxa" w:w="4760"/>
            <w:tcMar>
              <w:top w:w="80" w:type="dxa"/>
              <w:start w:w="120" w:type="dxa"/>
              <w:bottom w:w="80" w:type="dxa"/>
              <w:end w:w="120" w:type="dxa"/>
            </w:tcMar>
            <w:vAlign w:val="center"/>
          </w:tcPr>
          <w:p>
            <w:pPr>
              <w:spacing w:after="0" w:line="276" w:lineRule="auto"/>
            </w:pPr>
            <w:r>
              <w:rPr>
                <w:sz w:val="19"/>
              </w:rPr>
              <w:t>100 x 1.25.</w:t>
            </w:r>
          </w:p>
        </w:tc>
      </w:tr>
      <w:tr>
        <w:trPr>
          <w:cantSplit/>
        </w:trPr>
        <w:tc>
          <w:tcPr>
            <w:tcW w:type="dxa" w:w="2900"/>
            <w:tcMar>
              <w:top w:w="80" w:type="dxa"/>
              <w:start w:w="120" w:type="dxa"/>
              <w:bottom w:w="80" w:type="dxa"/>
              <w:end w:w="120" w:type="dxa"/>
            </w:tcMar>
            <w:vAlign w:val="center"/>
          </w:tcPr>
          <w:p>
            <w:pPr>
              <w:spacing w:after="0" w:line="276" w:lineRule="auto"/>
            </w:pPr>
            <w:r>
              <w:rPr>
                <w:sz w:val="19"/>
              </w:rPr>
              <w:t>actual candidate value</w:t>
            </w:r>
          </w:p>
        </w:tc>
        <w:tc>
          <w:tcPr>
            <w:tcW w:type="dxa" w:w="1700"/>
            <w:tcMar>
              <w:top w:w="80" w:type="dxa"/>
              <w:start w:w="120" w:type="dxa"/>
              <w:bottom w:w="80" w:type="dxa"/>
              <w:end w:w="120" w:type="dxa"/>
            </w:tcMar>
            <w:vAlign w:val="center"/>
          </w:tcPr>
          <w:p>
            <w:pPr>
              <w:spacing w:after="0" w:line="276" w:lineRule="auto"/>
            </w:pPr>
            <w:r>
              <w:rPr>
                <w:sz w:val="19"/>
              </w:rPr>
              <w:t>145</w:t>
            </w:r>
          </w:p>
        </w:tc>
        <w:tc>
          <w:tcPr>
            <w:tcW w:type="dxa" w:w="4760"/>
            <w:tcMar>
              <w:top w:w="80" w:type="dxa"/>
              <w:start w:w="120" w:type="dxa"/>
              <w:bottom w:w="80" w:type="dxa"/>
              <w:end w:w="120" w:type="dxa"/>
            </w:tcMar>
            <w:vAlign w:val="center"/>
          </w:tcPr>
          <w:p>
            <w:pPr>
              <w:spacing w:after="0" w:line="276" w:lineRule="auto"/>
            </w:pPr>
            <w:r>
              <w:rPr>
                <w:sz w:val="19"/>
              </w:rPr>
              <w:t>Passes, because 145 &gt;= 125.</w:t>
            </w:r>
          </w:p>
        </w:tc>
      </w:tr>
    </w:tbl>
    <w:p/>
    <w:tbl>
      <w:tblPr>
        <w:tblStyle w:val="TableGrid"/>
        <w:tblW w:type="dxa" w:w="9360"/>
        <w:tblLook w:firstColumn="1" w:firstRow="1" w:lastColumn="0" w:lastRow="0" w:noHBand="0" w:noVBand="1" w:val="04A0"/>
        <w:tblBorders>
          <w:top w:val="single" w:sz="4" w:space="0" w:color="CAD3DF"/>
          <w:left w:val="single" w:sz="4" w:space="0" w:color="CAD3DF"/>
          <w:bottom w:val="single" w:sz="4" w:space="0" w:color="CAD3DF"/>
          <w:right w:val="single" w:sz="4" w:space="0" w:color="CAD3DF"/>
          <w:insideH w:val="single" w:sz="4" w:space="0" w:color="CAD3DF"/>
          <w:insideV w:val="single" w:sz="4" w:space="0" w:color="CAD3DF"/>
        </w:tblBorders>
        <w:tblInd w:w="120" w:type="dxa"/>
        <w:tblLayout w:type="fixed"/>
      </w:tblPr>
      <w:tblGrid>
        <w:gridCol w:w="9360"/>
      </w:tblGrid>
      <w:tr>
        <w:trPr>
          <w:cantSplit/>
        </w:trPr>
        <w:tc>
          <w:tcPr>
            <w:tcW w:type="dxa" w:w="9360"/>
            <w:tcMar>
              <w:top w:w="80" w:type="dxa"/>
              <w:start w:w="120" w:type="dxa"/>
              <w:bottom w:w="80" w:type="dxa"/>
              <w:end w:w="120" w:type="dxa"/>
            </w:tcMar>
            <w:vAlign w:val="center"/>
            <w:shd w:fill="F2F4F7"/>
          </w:tcPr>
          <w:p>
            <w:pPr>
              <w:spacing w:after="0" w:line="276" w:lineRule="auto"/>
            </w:pPr>
            <w:r>
              <w:rPr>
                <w:b/>
                <w:color w:val="1F4D78"/>
                <w:sz w:val="21"/>
              </w:rPr>
              <w:t>Why both tests?</w:t>
            </w:r>
            <w:r>
              <w:rPr>
                <w:sz w:val="21"/>
              </w:rPr>
              <w:t xml:space="preserve"> the neighbour baseline rejects peaks that are not high relative to their wider surroundings, while the side-drop test rejects broad galaxy humps that do not fall away quickly near the candidate.</w:t>
            </w:r>
          </w:p>
        </w:tc>
      </w:tr>
    </w:tbl>
    <w:p/>
    <w:p>
      <w:pPr>
        <w:pStyle w:val="Heading1"/>
      </w:pPr>
      <w:r>
        <w:t>The central exclusion</w:t>
      </w:r>
    </w:p>
    <w:p>
      <w:pPr/>
      <w:r>
        <w:t>The galaxy centre is often bright, structured, and steep. A central peak is therefore not good evidence for a foreground contaminant. The parameter spike_center_exclusion_arcsec defines a symmetric interval around zero radius where candidates are skipped before the spike tests are applied.</w:t>
      </w:r>
    </w:p>
    <w:p>
      <w:pPr>
        <w:jc w:val="center"/>
      </w:pPr>
      <w:r>
        <w:drawing>
          <wp:inline xmlns:a="http://schemas.openxmlformats.org/drawingml/2006/main" xmlns:pic="http://schemas.openxmlformats.org/drawingml/2006/picture">
            <wp:extent cx="5852160" cy="2682240"/>
            <wp:docPr id="4" name="Picture 4"/>
            <wp:cNvGraphicFramePr>
              <a:graphicFrameLocks noChangeAspect="1"/>
            </wp:cNvGraphicFramePr>
            <a:graphic>
              <a:graphicData uri="http://schemas.openxmlformats.org/drawingml/2006/picture">
                <pic:pic>
                  <pic:nvPicPr>
                    <pic:cNvPr id="0" name="center_exclusion.png"/>
                    <pic:cNvPicPr/>
                  </pic:nvPicPr>
                  <pic:blipFill>
                    <a:blip r:embed="rId12"/>
                    <a:stretch>
                      <a:fillRect/>
                    </a:stretch>
                  </pic:blipFill>
                  <pic:spPr>
                    <a:xfrm>
                      <a:off x="0" y="0"/>
                      <a:ext cx="5852160" cy="2682240"/>
                    </a:xfrm>
                    <a:prstGeom prst="rect"/>
                  </pic:spPr>
                </pic:pic>
              </a:graphicData>
            </a:graphic>
          </wp:inline>
        </w:drawing>
      </w:r>
    </w:p>
    <w:p>
      <w:pPr>
        <w:jc w:val="center"/>
      </w:pPr>
      <w:r>
        <w:rPr>
          <w:i/>
          <w:color w:val="5B6775"/>
          <w:sz w:val="18"/>
        </w:rPr>
        <w:t>Figure 4. Candidate samples inside the centre exclusion are ignored.</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500"/>
        <w:gridCol w:w="2200"/>
        <w:gridCol w:w="4660"/>
      </w:tblGrid>
      <w:tr>
        <w:trPr>
          <w:tblHeader/>
          <w:cantSplit/>
        </w:trPr>
        <w:tc>
          <w:tcPr>
            <w:tcW w:type="dxa" w:w="2500"/>
            <w:shd w:fill="E8EEF5"/>
            <w:tcMar>
              <w:top w:w="80" w:type="dxa"/>
              <w:start w:w="120" w:type="dxa"/>
              <w:bottom w:w="80" w:type="dxa"/>
              <w:end w:w="120" w:type="dxa"/>
            </w:tcMar>
            <w:vAlign w:val="center"/>
          </w:tcPr>
          <w:p>
            <w:pPr>
              <w:spacing w:after="0" w:line="276" w:lineRule="auto"/>
              <w:jc w:val="left"/>
            </w:pPr>
            <w:r>
              <w:rPr>
                <w:b/>
                <w:color w:val="1F4D78"/>
                <w:sz w:val="19"/>
              </w:rPr>
              <w:t>Sample radius</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centre exclusion</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Tested?</w:t>
            </w:r>
          </w:p>
        </w:tc>
      </w:tr>
      <w:tr>
        <w:trPr>
          <w:cantSplit/>
        </w:trPr>
        <w:tc>
          <w:tcPr>
            <w:tcW w:type="dxa" w:w="2500"/>
            <w:tcMar>
              <w:top w:w="80" w:type="dxa"/>
              <w:start w:w="120" w:type="dxa"/>
              <w:bottom w:w="80" w:type="dxa"/>
              <w:end w:w="120" w:type="dxa"/>
            </w:tcMar>
            <w:vAlign w:val="center"/>
          </w:tcPr>
          <w:p>
            <w:pPr>
              <w:spacing w:after="0" w:line="276" w:lineRule="auto"/>
            </w:pPr>
            <w:r>
              <w:rPr>
                <w:sz w:val="19"/>
              </w:rPr>
              <w:t>-6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0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This is the galaxy centre.</w:t>
            </w:r>
          </w:p>
        </w:tc>
      </w:tr>
      <w:tr>
        <w:trPr>
          <w:cantSplit/>
        </w:trPr>
        <w:tc>
          <w:tcPr>
            <w:tcW w:type="dxa" w:w="2500"/>
            <w:tcMar>
              <w:top w:w="80" w:type="dxa"/>
              <w:start w:w="120" w:type="dxa"/>
              <w:bottom w:w="80" w:type="dxa"/>
              <w:end w:w="120" w:type="dxa"/>
            </w:tcMar>
            <w:vAlign w:val="center"/>
          </w:tcPr>
          <w:p>
            <w:pPr>
              <w:spacing w:after="0" w:line="276" w:lineRule="auto"/>
            </w:pPr>
            <w:r>
              <w:rPr>
                <w:sz w:val="19"/>
              </w:rPr>
              <w:t>+8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No. abs(radius) &lt; 10.</w:t>
            </w:r>
          </w:p>
        </w:tc>
      </w:tr>
      <w:tr>
        <w:trPr>
          <w:cantSplit/>
        </w:trPr>
        <w:tc>
          <w:tcPr>
            <w:tcW w:type="dxa" w:w="2500"/>
            <w:tcMar>
              <w:top w:w="80" w:type="dxa"/>
              <w:start w:w="120" w:type="dxa"/>
              <w:bottom w:w="80" w:type="dxa"/>
              <w:end w:w="120" w:type="dxa"/>
            </w:tcMar>
            <w:vAlign w:val="center"/>
          </w:tcPr>
          <w:p>
            <w:pPr>
              <w:spacing w:after="0" w:line="276" w:lineRule="auto"/>
            </w:pPr>
            <w:r>
              <w:rPr>
                <w:sz w:val="19"/>
              </w:rPr>
              <w:t>+18 arcsec</w:t>
            </w:r>
          </w:p>
        </w:tc>
        <w:tc>
          <w:tcPr>
            <w:tcW w:type="dxa" w:w="2200"/>
            <w:tcMar>
              <w:top w:w="80" w:type="dxa"/>
              <w:start w:w="120" w:type="dxa"/>
              <w:bottom w:w="80" w:type="dxa"/>
              <w:end w:w="120" w:type="dxa"/>
            </w:tcMar>
            <w:vAlign w:val="center"/>
          </w:tcPr>
          <w:p>
            <w:pPr>
              <w:spacing w:after="0" w:line="276" w:lineRule="auto"/>
            </w:pPr>
            <w:r>
              <w:rPr>
                <w:sz w:val="19"/>
              </w:rPr>
              <w:t>10 arcsec</w:t>
            </w:r>
          </w:p>
        </w:tc>
        <w:tc>
          <w:tcPr>
            <w:tcW w:type="dxa" w:w="4660"/>
            <w:tcMar>
              <w:top w:w="80" w:type="dxa"/>
              <w:start w:w="120" w:type="dxa"/>
              <w:bottom w:w="80" w:type="dxa"/>
              <w:end w:w="120" w:type="dxa"/>
            </w:tcMar>
            <w:vAlign w:val="center"/>
          </w:tcPr>
          <w:p>
            <w:pPr>
              <w:spacing w:after="0" w:line="276" w:lineRule="auto"/>
            </w:pPr>
            <w:r>
              <w:rPr>
                <w:sz w:val="19"/>
              </w:rPr>
              <w:t>Yes. It is outside the excluded centre.</w:t>
            </w:r>
          </w:p>
        </w:tc>
      </w:tr>
    </w:tbl>
    <w:p/>
    <w:p>
      <w:pPr>
        <w:pStyle w:val="Heading1"/>
      </w:pPr>
      <w:r>
        <w:t>Spike-window expansion and coverage</w:t>
      </w:r>
    </w:p>
    <w:p>
      <w:pPr/>
      <w:r>
        <w:t>After a sample passes the spike tests, the code expands it along the one-dimensional profile by spike_window_samples. This does not create more detections in the image. It simply widens the bar-profile gate used to decide whether a residual-image segment intersects the spike.</w:t>
      </w:r>
    </w:p>
    <w:p>
      <w:pPr>
        <w:jc w:val="center"/>
      </w:pPr>
      <w:r>
        <w:drawing>
          <wp:inline xmlns:a="http://schemas.openxmlformats.org/drawingml/2006/main" xmlns:pic="http://schemas.openxmlformats.org/drawingml/2006/picture">
            <wp:extent cx="5852160" cy="2600960"/>
            <wp:docPr id="5" name="Picture 5"/>
            <wp:cNvGraphicFramePr>
              <a:graphicFrameLocks noChangeAspect="1"/>
            </wp:cNvGraphicFramePr>
            <a:graphic>
              <a:graphicData uri="http://schemas.openxmlformats.org/drawingml/2006/picture">
                <pic:pic>
                  <pic:nvPicPr>
                    <pic:cNvPr id="0" name="window_coverage.png"/>
                    <pic:cNvPicPr/>
                  </pic:nvPicPr>
                  <pic:blipFill>
                    <a:blip r:embed="rId13"/>
                    <a:stretch>
                      <a:fillRect/>
                    </a:stretch>
                  </pic:blipFill>
                  <pic:spPr>
                    <a:xfrm>
                      <a:off x="0" y="0"/>
                      <a:ext cx="5852160" cy="2600960"/>
                    </a:xfrm>
                    <a:prstGeom prst="rect"/>
                  </pic:spPr>
                </pic:pic>
              </a:graphicData>
            </a:graphic>
          </wp:inline>
        </w:drawing>
      </w:r>
    </w:p>
    <w:p>
      <w:pPr>
        <w:jc w:val="center"/>
      </w:pPr>
      <w:r>
        <w:rPr>
          <w:i/>
          <w:color w:val="5B6775"/>
          <w:sz w:val="18"/>
        </w:rPr>
        <w:t>Figure 5. A detected spike sample expanded by two samples on each side.</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600"/>
        <w:gridCol w:w="2100"/>
        <w:gridCol w:w="4660"/>
      </w:tblGrid>
      <w:tr>
        <w:trPr>
          <w:tblHeader/>
          <w:cantSplit/>
        </w:trPr>
        <w:tc>
          <w:tcPr>
            <w:tcW w:type="dxa" w:w="26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Example</w:t>
            </w:r>
          </w:p>
        </w:tc>
        <w:tc>
          <w:tcPr>
            <w:tcW w:type="dxa" w:w="4660"/>
            <w:shd w:fill="E8EEF5"/>
            <w:tcMar>
              <w:top w:w="80" w:type="dxa"/>
              <w:start w:w="120" w:type="dxa"/>
              <w:bottom w:w="80" w:type="dxa"/>
              <w:end w:w="120" w:type="dxa"/>
            </w:tcMar>
            <w:vAlign w:val="center"/>
          </w:tcPr>
          <w:p>
            <w:pPr>
              <w:spacing w:after="0" w:line="276" w:lineRule="auto"/>
              <w:jc w:val="left"/>
            </w:pPr>
            <w:r>
              <w:rPr>
                <w:b/>
                <w:color w:val="1F4D78"/>
                <w:sz w:val="19"/>
              </w:rPr>
              <w:t>Result</w:t>
            </w:r>
          </w:p>
        </w:tc>
      </w:tr>
      <w:tr>
        <w:trPr>
          <w:cantSplit/>
        </w:trPr>
        <w:tc>
          <w:tcPr>
            <w:tcW w:type="dxa" w:w="2600"/>
            <w:tcMar>
              <w:top w:w="80" w:type="dxa"/>
              <w:start w:w="120" w:type="dxa"/>
              <w:bottom w:w="80" w:type="dxa"/>
              <w:end w:w="120" w:type="dxa"/>
            </w:tcMar>
            <w:vAlign w:val="center"/>
          </w:tcPr>
          <w:p>
            <w:pPr>
              <w:spacing w:after="0" w:line="276" w:lineRule="auto"/>
            </w:pPr>
            <w:r>
              <w:rPr>
                <w:sz w:val="19"/>
              </w:rPr>
              <w:t>detected spike index</w:t>
            </w:r>
          </w:p>
        </w:tc>
        <w:tc>
          <w:tcPr>
            <w:tcW w:type="dxa" w:w="2100"/>
            <w:tcMar>
              <w:top w:w="80" w:type="dxa"/>
              <w:start w:w="120" w:type="dxa"/>
              <w:bottom w:w="80" w:type="dxa"/>
              <w:end w:w="120" w:type="dxa"/>
            </w:tcMar>
            <w:vAlign w:val="center"/>
          </w:tcPr>
          <w:p>
            <w:pPr>
              <w:spacing w:after="0" w:line="276" w:lineRule="auto"/>
            </w:pPr>
            <w:r>
              <w:rPr>
                <w:sz w:val="19"/>
              </w:rPr>
              <w:t>10</w:t>
            </w:r>
          </w:p>
        </w:tc>
        <w:tc>
          <w:tcPr>
            <w:tcW w:type="dxa" w:w="4660"/>
            <w:tcMar>
              <w:top w:w="80" w:type="dxa"/>
              <w:start w:w="120" w:type="dxa"/>
              <w:bottom w:w="80" w:type="dxa"/>
              <w:end w:w="120" w:type="dxa"/>
            </w:tcMar>
            <w:vAlign w:val="center"/>
          </w:tcPr>
          <w:p>
            <w:pPr>
              <w:spacing w:after="0" w:line="276" w:lineRule="auto"/>
            </w:pPr>
            <w:r>
              <w:rPr>
                <w:sz w:val="19"/>
              </w:rPr>
              <w:t>The profile sample that passed the spike tests.</w:t>
            </w:r>
          </w:p>
        </w:tc>
      </w:tr>
      <w:tr>
        <w:trPr>
          <w:cantSplit/>
        </w:trPr>
        <w:tc>
          <w:tcPr>
            <w:tcW w:type="dxa" w:w="2600"/>
            <w:tcMar>
              <w:top w:w="80" w:type="dxa"/>
              <w:start w:w="120" w:type="dxa"/>
              <w:bottom w:w="80" w:type="dxa"/>
              <w:end w:w="120" w:type="dxa"/>
            </w:tcMar>
            <w:vAlign w:val="center"/>
          </w:tcPr>
          <w:p>
            <w:pPr>
              <w:spacing w:after="0" w:line="276" w:lineRule="auto"/>
            </w:pPr>
            <w:r>
              <w:rPr>
                <w:sz w:val="19"/>
              </w:rPr>
              <w:t>spike_window_samples</w:t>
            </w:r>
          </w:p>
        </w:tc>
        <w:tc>
          <w:tcPr>
            <w:tcW w:type="dxa" w:w="2100"/>
            <w:tcMar>
              <w:top w:w="80" w:type="dxa"/>
              <w:start w:w="120" w:type="dxa"/>
              <w:bottom w:w="80" w:type="dxa"/>
              <w:end w:w="120" w:type="dxa"/>
            </w:tcMar>
            <w:vAlign w:val="center"/>
          </w:tcPr>
          <w:p>
            <w:pPr>
              <w:spacing w:after="0" w:line="276" w:lineRule="auto"/>
            </w:pPr>
            <w:r>
              <w:rPr>
                <w:sz w:val="19"/>
              </w:rPr>
              <w:t>2</w:t>
            </w:r>
          </w:p>
        </w:tc>
        <w:tc>
          <w:tcPr>
            <w:tcW w:type="dxa" w:w="4660"/>
            <w:tcMar>
              <w:top w:w="80" w:type="dxa"/>
              <w:start w:w="120" w:type="dxa"/>
              <w:bottom w:w="80" w:type="dxa"/>
              <w:end w:w="120" w:type="dxa"/>
            </w:tcMar>
            <w:vAlign w:val="center"/>
          </w:tcPr>
          <w:p>
            <w:pPr>
              <w:spacing w:after="0" w:line="276" w:lineRule="auto"/>
            </w:pPr>
            <w:r>
              <w:rPr>
                <w:sz w:val="19"/>
              </w:rPr>
              <w:t>Expand to samples 8, 9, 10, 11, and 12.</w:t>
            </w:r>
          </w:p>
        </w:tc>
      </w:tr>
      <w:tr>
        <w:trPr>
          <w:cantSplit/>
        </w:trPr>
        <w:tc>
          <w:tcPr>
            <w:tcW w:type="dxa" w:w="2600"/>
            <w:tcMar>
              <w:top w:w="80" w:type="dxa"/>
              <w:start w:w="120" w:type="dxa"/>
              <w:bottom w:w="80" w:type="dxa"/>
              <w:end w:w="120" w:type="dxa"/>
            </w:tcMar>
            <w:vAlign w:val="center"/>
          </w:tcPr>
          <w:p>
            <w:pPr>
              <w:spacing w:after="0" w:line="276" w:lineRule="auto"/>
            </w:pPr>
            <w:r>
              <w:rPr>
                <w:sz w:val="19"/>
              </w:rPr>
              <w:t>mask/profile intersection</w:t>
            </w:r>
          </w:p>
        </w:tc>
        <w:tc>
          <w:tcPr>
            <w:tcW w:type="dxa" w:w="2100"/>
            <w:tcMar>
              <w:top w:w="80" w:type="dxa"/>
              <w:start w:w="120" w:type="dxa"/>
              <w:bottom w:w="80" w:type="dxa"/>
              <w:end w:w="120" w:type="dxa"/>
            </w:tcMar>
            <w:vAlign w:val="center"/>
          </w:tcPr>
          <w:p>
            <w:pPr>
              <w:spacing w:after="0" w:line="276" w:lineRule="auto"/>
            </w:pPr>
            <w:r>
              <w:rPr>
                <w:sz w:val="19"/>
              </w:rPr>
              <w:t>samples 8 to 13</w:t>
            </w:r>
          </w:p>
        </w:tc>
        <w:tc>
          <w:tcPr>
            <w:tcW w:type="dxa" w:w="4660"/>
            <w:tcMar>
              <w:top w:w="80" w:type="dxa"/>
              <w:start w:w="120" w:type="dxa"/>
              <w:bottom w:w="80" w:type="dxa"/>
              <w:end w:w="120" w:type="dxa"/>
            </w:tcMar>
            <w:vAlign w:val="center"/>
          </w:tcPr>
          <w:p>
            <w:pPr>
              <w:spacing w:after="0" w:line="276" w:lineRule="auto"/>
            </w:pPr>
            <w:r>
              <w:rPr>
                <w:sz w:val="19"/>
              </w:rPr>
              <w:t>The mask covers all expanded spike samples.</w:t>
            </w:r>
          </w:p>
        </w:tc>
      </w:tr>
      <w:tr>
        <w:trPr>
          <w:cantSplit/>
        </w:trPr>
        <w:tc>
          <w:tcPr>
            <w:tcW w:type="dxa" w:w="2600"/>
            <w:tcMar>
              <w:top w:w="80" w:type="dxa"/>
              <w:start w:w="120" w:type="dxa"/>
              <w:bottom w:w="80" w:type="dxa"/>
              <w:end w:w="120" w:type="dxa"/>
            </w:tcMar>
            <w:vAlign w:val="center"/>
          </w:tcPr>
          <w:p>
            <w:pPr>
              <w:spacing w:after="0" w:line="276" w:lineRule="auto"/>
            </w:pPr>
            <w:r>
              <w:rPr>
                <w:sz w:val="19"/>
              </w:rPr>
              <w:t>coverage</w:t>
            </w:r>
          </w:p>
        </w:tc>
        <w:tc>
          <w:tcPr>
            <w:tcW w:type="dxa" w:w="2100"/>
            <w:tcMar>
              <w:top w:w="80" w:type="dxa"/>
              <w:start w:w="120" w:type="dxa"/>
              <w:bottom w:w="80" w:type="dxa"/>
              <w:end w:w="120" w:type="dxa"/>
            </w:tcMar>
            <w:vAlign w:val="center"/>
          </w:tcPr>
          <w:p>
            <w:pPr>
              <w:spacing w:after="0" w:line="276" w:lineRule="auto"/>
            </w:pPr>
            <w:r>
              <w:rPr>
                <w:sz w:val="19"/>
              </w:rPr>
              <w:t>5 / 5 = 1.0</w:t>
            </w:r>
          </w:p>
        </w:tc>
        <w:tc>
          <w:tcPr>
            <w:tcW w:type="dxa" w:w="4660"/>
            <w:tcMar>
              <w:top w:w="80" w:type="dxa"/>
              <w:start w:w="120" w:type="dxa"/>
              <w:bottom w:w="80" w:type="dxa"/>
              <w:end w:w="120" w:type="dxa"/>
            </w:tcMar>
            <w:vAlign w:val="center"/>
          </w:tcPr>
          <w:p>
            <w:pPr>
              <w:spacing w:after="0" w:line="276" w:lineRule="auto"/>
            </w:pPr>
            <w:r>
              <w:rPr>
                <w:sz w:val="19"/>
              </w:rPr>
              <w:t>Auto-tune treats the spike samples as fully covered.</w:t>
            </w:r>
          </w:p>
        </w:tc>
      </w:tr>
    </w:tbl>
    <w:p/>
    <w:p>
      <w:pPr>
        <w:pStyle w:val="Heading1"/>
      </w:pPr>
      <w:r>
        <w:t>How this affects auto-tune nsigma</w:t>
      </w:r>
    </w:p>
    <w:p>
      <w:pPr/>
      <w:r>
        <w:t>In spike-gated mode, auto-tune does not invent a new threshold from first principles. It tries the candidate thresholds in auto_tune_nsigmas from conservative to aggressive, usually 5.0, 4.5, 4.0, and 3.5. For each threshold it detects compact residual-image segments, filters them, keeps only segments that intersect the expanded spike samples, and measures coverage.</w:t>
      </w:r>
    </w:p>
    <w:p>
      <w:pPr/>
      <w:r>
        <w:t>The selected nsigma is the first, most conservative threshold that covers essentially every detected spike sample. If the spike gate detects weaker or more numerous spikes, auto-tune may need a lower, more aggressive nsigma. If the spike gate detects only obvious sharp spikes, a higher, more conservative nsigma may be enough.</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100"/>
        <w:gridCol w:w="2400"/>
        <w:gridCol w:w="2200"/>
        <w:gridCol w:w="2660"/>
      </w:tblGrid>
      <w:tr>
        <w:trPr>
          <w:tblHeader/>
          <w:cantSplit/>
        </w:trPr>
        <w:tc>
          <w:tcPr>
            <w:tcW w:type="dxa" w:w="2100"/>
            <w:shd w:fill="E8EEF5"/>
            <w:tcMar>
              <w:top w:w="80" w:type="dxa"/>
              <w:start w:w="120" w:type="dxa"/>
              <w:bottom w:w="80" w:type="dxa"/>
              <w:end w:w="120" w:type="dxa"/>
            </w:tcMar>
            <w:vAlign w:val="center"/>
          </w:tcPr>
          <w:p>
            <w:pPr>
              <w:spacing w:after="0" w:line="276" w:lineRule="auto"/>
              <w:jc w:val="left"/>
            </w:pPr>
            <w:r>
              <w:rPr>
                <w:b/>
                <w:color w:val="1F4D78"/>
                <w:sz w:val="19"/>
              </w:rPr>
              <w:t>Candidate nsigma</w:t>
            </w:r>
          </w:p>
        </w:tc>
        <w:tc>
          <w:tcPr>
            <w:tcW w:type="dxa" w:w="2400"/>
            <w:shd w:fill="E8EEF5"/>
            <w:tcMar>
              <w:top w:w="80" w:type="dxa"/>
              <w:start w:w="120" w:type="dxa"/>
              <w:bottom w:w="80" w:type="dxa"/>
              <w:end w:w="120" w:type="dxa"/>
            </w:tcMar>
            <w:vAlign w:val="center"/>
          </w:tcPr>
          <w:p>
            <w:pPr>
              <w:spacing w:after="0" w:line="276" w:lineRule="auto"/>
              <w:jc w:val="left"/>
            </w:pPr>
            <w:r>
              <w:rPr>
                <w:b/>
                <w:color w:val="1F4D78"/>
                <w:sz w:val="19"/>
              </w:rPr>
              <w:t>Mask segments found?</w:t>
            </w:r>
          </w:p>
        </w:tc>
        <w:tc>
          <w:tcPr>
            <w:tcW w:type="dxa" w:w="2200"/>
            <w:shd w:fill="E8EEF5"/>
            <w:tcMar>
              <w:top w:w="80" w:type="dxa"/>
              <w:start w:w="120" w:type="dxa"/>
              <w:bottom w:w="80" w:type="dxa"/>
              <w:end w:w="120" w:type="dxa"/>
            </w:tcMar>
            <w:vAlign w:val="center"/>
          </w:tcPr>
          <w:p>
            <w:pPr>
              <w:spacing w:after="0" w:line="276" w:lineRule="auto"/>
              <w:jc w:val="left"/>
            </w:pPr>
            <w:r>
              <w:rPr>
                <w:b/>
                <w:color w:val="1F4D78"/>
                <w:sz w:val="19"/>
              </w:rPr>
              <w:t>Spike-window coverage</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Auto-tune decision</w:t>
            </w:r>
          </w:p>
        </w:tc>
      </w:tr>
      <w:tr>
        <w:trPr>
          <w:cantSplit/>
        </w:trPr>
        <w:tc>
          <w:tcPr>
            <w:tcW w:type="dxa" w:w="2100"/>
            <w:tcMar>
              <w:top w:w="80" w:type="dxa"/>
              <w:start w:w="120" w:type="dxa"/>
              <w:bottom w:w="80" w:type="dxa"/>
              <w:end w:w="120" w:type="dxa"/>
            </w:tcMar>
            <w:vAlign w:val="center"/>
          </w:tcPr>
          <w:p>
            <w:pPr>
              <w:spacing w:after="0" w:line="276" w:lineRule="auto"/>
            </w:pPr>
            <w:r>
              <w:rPr>
                <w:sz w:val="19"/>
              </w:rPr>
              <w:t>5.0</w:t>
            </w:r>
          </w:p>
        </w:tc>
        <w:tc>
          <w:tcPr>
            <w:tcW w:type="dxa" w:w="2400"/>
            <w:tcMar>
              <w:top w:w="80" w:type="dxa"/>
              <w:start w:w="120" w:type="dxa"/>
              <w:bottom w:w="80" w:type="dxa"/>
              <w:end w:w="120" w:type="dxa"/>
            </w:tcMar>
            <w:vAlign w:val="center"/>
          </w:tcPr>
          <w:p>
            <w:pPr>
              <w:spacing w:after="0" w:line="276" w:lineRule="auto"/>
            </w:pPr>
            <w:r>
              <w:rPr>
                <w:sz w:val="19"/>
              </w:rPr>
              <w:t>1 segment</w:t>
            </w:r>
          </w:p>
        </w:tc>
        <w:tc>
          <w:tcPr>
            <w:tcW w:type="dxa" w:w="2200"/>
            <w:tcMar>
              <w:top w:w="80" w:type="dxa"/>
              <w:start w:w="120" w:type="dxa"/>
              <w:bottom w:w="80" w:type="dxa"/>
              <w:end w:w="120" w:type="dxa"/>
            </w:tcMar>
            <w:vAlign w:val="center"/>
          </w:tcPr>
          <w:p>
            <w:pPr>
              <w:spacing w:after="0" w:line="276" w:lineRule="auto"/>
            </w:pPr>
            <w:r>
              <w:rPr>
                <w:sz w:val="19"/>
              </w:rPr>
              <w:t>60%</w:t>
            </w:r>
          </w:p>
        </w:tc>
        <w:tc>
          <w:tcPr>
            <w:tcW w:type="dxa" w:w="2660"/>
            <w:tcMar>
              <w:top w:w="80" w:type="dxa"/>
              <w:start w:w="120" w:type="dxa"/>
              <w:bottom w:w="80" w:type="dxa"/>
              <w:end w:w="120" w:type="dxa"/>
            </w:tcMar>
            <w:vAlign w:val="center"/>
          </w:tcPr>
          <w:p>
            <w:pPr>
              <w:spacing w:after="0" w:line="276" w:lineRule="auto"/>
            </w:pPr>
            <w:r>
              <w:rPr>
                <w:sz w:val="19"/>
              </w:rPr>
              <w:t>Not enough coverage. Try next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4.5</w:t>
            </w:r>
          </w:p>
        </w:tc>
        <w:tc>
          <w:tcPr>
            <w:tcW w:type="dxa" w:w="2400"/>
            <w:tcMar>
              <w:top w:w="80" w:type="dxa"/>
              <w:start w:w="120" w:type="dxa"/>
              <w:bottom w:w="80" w:type="dxa"/>
              <w:end w:w="120" w:type="dxa"/>
            </w:tcMar>
            <w:vAlign w:val="center"/>
          </w:tcPr>
          <w:p>
            <w:pPr>
              <w:spacing w:after="0" w:line="276" w:lineRule="auto"/>
            </w:pPr>
            <w:r>
              <w:rPr>
                <w:sz w:val="19"/>
              </w:rPr>
              <w:t>2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Select 4.5, because it is the first full-coverage threshold.</w:t>
            </w:r>
          </w:p>
        </w:tc>
      </w:tr>
      <w:tr>
        <w:trPr>
          <w:cantSplit/>
        </w:trPr>
        <w:tc>
          <w:tcPr>
            <w:tcW w:type="dxa" w:w="2100"/>
            <w:tcMar>
              <w:top w:w="80" w:type="dxa"/>
              <w:start w:w="120" w:type="dxa"/>
              <w:bottom w:w="80" w:type="dxa"/>
              <w:end w:w="120" w:type="dxa"/>
            </w:tcMar>
            <w:vAlign w:val="center"/>
          </w:tcPr>
          <w:p>
            <w:pPr>
              <w:spacing w:after="0" w:line="276" w:lineRule="auto"/>
            </w:pPr>
            <w:r>
              <w:rPr>
                <w:sz w:val="19"/>
              </w:rPr>
              <w:t>4.0</w:t>
            </w:r>
          </w:p>
        </w:tc>
        <w:tc>
          <w:tcPr>
            <w:tcW w:type="dxa" w:w="2400"/>
            <w:tcMar>
              <w:top w:w="80" w:type="dxa"/>
              <w:start w:w="120" w:type="dxa"/>
              <w:bottom w:w="80" w:type="dxa"/>
              <w:end w:w="120" w:type="dxa"/>
            </w:tcMar>
            <w:vAlign w:val="center"/>
          </w:tcPr>
          <w:p>
            <w:pPr>
              <w:spacing w:after="0" w:line="276" w:lineRule="auto"/>
            </w:pPr>
            <w:r>
              <w:rPr>
                <w:sz w:val="19"/>
              </w:rPr>
              <w:t>More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Not needed; 4.5 already worked.</w:t>
            </w:r>
          </w:p>
        </w:tc>
      </w:tr>
      <w:tr>
        <w:trPr>
          <w:cantSplit/>
        </w:trPr>
        <w:tc>
          <w:tcPr>
            <w:tcW w:type="dxa" w:w="2100"/>
            <w:tcMar>
              <w:top w:w="80" w:type="dxa"/>
              <w:start w:w="120" w:type="dxa"/>
              <w:bottom w:w="80" w:type="dxa"/>
              <w:end w:w="120" w:type="dxa"/>
            </w:tcMar>
            <w:vAlign w:val="center"/>
          </w:tcPr>
          <w:p>
            <w:pPr>
              <w:spacing w:after="0" w:line="276" w:lineRule="auto"/>
            </w:pPr>
            <w:r>
              <w:rPr>
                <w:sz w:val="19"/>
              </w:rPr>
              <w:t>3.5</w:t>
            </w:r>
          </w:p>
        </w:tc>
        <w:tc>
          <w:tcPr>
            <w:tcW w:type="dxa" w:w="2400"/>
            <w:tcMar>
              <w:top w:w="80" w:type="dxa"/>
              <w:start w:w="120" w:type="dxa"/>
              <w:bottom w:w="80" w:type="dxa"/>
              <w:end w:w="120" w:type="dxa"/>
            </w:tcMar>
            <w:vAlign w:val="center"/>
          </w:tcPr>
          <w:p>
            <w:pPr>
              <w:spacing w:after="0" w:line="276" w:lineRule="auto"/>
            </w:pPr>
            <w:r>
              <w:rPr>
                <w:sz w:val="19"/>
              </w:rPr>
              <w:t>Most segments</w:t>
            </w:r>
          </w:p>
        </w:tc>
        <w:tc>
          <w:tcPr>
            <w:tcW w:type="dxa" w:w="2200"/>
            <w:tcMar>
              <w:top w:w="80" w:type="dxa"/>
              <w:start w:w="120" w:type="dxa"/>
              <w:bottom w:w="80" w:type="dxa"/>
              <w:end w:w="120" w:type="dxa"/>
            </w:tcMar>
            <w:vAlign w:val="center"/>
          </w:tcPr>
          <w:p>
            <w:pPr>
              <w:spacing w:after="0" w:line="276" w:lineRule="auto"/>
            </w:pPr>
            <w:r>
              <w:rPr>
                <w:sz w:val="19"/>
              </w:rPr>
              <w:t>100%</w:t>
            </w:r>
          </w:p>
        </w:tc>
        <w:tc>
          <w:tcPr>
            <w:tcW w:type="dxa" w:w="2660"/>
            <w:tcMar>
              <w:top w:w="80" w:type="dxa"/>
              <w:start w:w="120" w:type="dxa"/>
              <w:bottom w:w="80" w:type="dxa"/>
              <w:end w:w="120" w:type="dxa"/>
            </w:tcMar>
            <w:vAlign w:val="center"/>
          </w:tcPr>
          <w:p>
            <w:pPr>
              <w:spacing w:after="0" w:line="276" w:lineRule="auto"/>
            </w:pPr>
            <w:r>
              <w:rPr>
                <w:sz w:val="19"/>
              </w:rPr>
              <w:t>Fallback only if stricter candidates fail.</w:t>
            </w:r>
          </w:p>
        </w:tc>
      </w:tr>
    </w:tbl>
    <w:p/>
    <w:p>
      <w:pPr>
        <w:pStyle w:val="Heading1"/>
      </w:pPr>
      <w:r>
        <w:t>Parameter cheat sheet</w:t>
      </w:r>
    </w:p>
    <w:tbl>
      <w:tblPr>
        <w:tblStyle w:val="TableGrid"/>
        <w:tblW w:type="dxa" w:w="9360"/>
        <w:tblLook w:firstColumn="1" w:firstRow="1" w:lastColumn="0" w:lastRow="0" w:noHBand="0" w:noVBand="1" w:val="04A0"/>
        <w:tblBorders>
          <w:top w:val="single" w:sz="4" w:space="0" w:color="A6B4C4"/>
          <w:left w:val="single" w:sz="4" w:space="0" w:color="A6B4C4"/>
          <w:bottom w:val="single" w:sz="4" w:space="0" w:color="A6B4C4"/>
          <w:right w:val="single" w:sz="4" w:space="0" w:color="A6B4C4"/>
          <w:insideH w:val="single" w:sz="4" w:space="0" w:color="A6B4C4"/>
          <w:insideV w:val="single" w:sz="4" w:space="0" w:color="A6B4C4"/>
        </w:tblBorders>
        <w:tblInd w:w="120" w:type="dxa"/>
        <w:tblLayout w:type="fixed"/>
      </w:tblPr>
      <w:tblGrid>
        <w:gridCol w:w="2800"/>
        <w:gridCol w:w="3900"/>
        <w:gridCol w:w="2660"/>
      </w:tblGrid>
      <w:tr>
        <w:trPr>
          <w:tblHeader/>
          <w:cantSplit/>
        </w:trPr>
        <w:tc>
          <w:tcPr>
            <w:tcW w:type="dxa" w:w="2800"/>
            <w:shd w:fill="E8EEF5"/>
            <w:tcMar>
              <w:top w:w="80" w:type="dxa"/>
              <w:start w:w="120" w:type="dxa"/>
              <w:bottom w:w="80" w:type="dxa"/>
              <w:end w:w="120" w:type="dxa"/>
            </w:tcMar>
            <w:vAlign w:val="center"/>
          </w:tcPr>
          <w:p>
            <w:pPr>
              <w:spacing w:after="0" w:line="276" w:lineRule="auto"/>
              <w:jc w:val="left"/>
            </w:pPr>
            <w:r>
              <w:rPr>
                <w:b/>
                <w:color w:val="1F4D78"/>
                <w:sz w:val="19"/>
              </w:rPr>
              <w:t>Parameter</w:t>
            </w:r>
          </w:p>
        </w:tc>
        <w:tc>
          <w:tcPr>
            <w:tcW w:type="dxa" w:w="3900"/>
            <w:shd w:fill="E8EEF5"/>
            <w:tcMar>
              <w:top w:w="80" w:type="dxa"/>
              <w:start w:w="120" w:type="dxa"/>
              <w:bottom w:w="80" w:type="dxa"/>
              <w:end w:w="120" w:type="dxa"/>
            </w:tcMar>
            <w:vAlign w:val="center"/>
          </w:tcPr>
          <w:p>
            <w:pPr>
              <w:spacing w:after="0" w:line="276" w:lineRule="auto"/>
              <w:jc w:val="left"/>
            </w:pPr>
            <w:r>
              <w:rPr>
                <w:b/>
                <w:color w:val="1F4D78"/>
                <w:sz w:val="19"/>
              </w:rPr>
              <w:t>Controls</w:t>
            </w:r>
          </w:p>
        </w:tc>
        <w:tc>
          <w:tcPr>
            <w:tcW w:type="dxa" w:w="2660"/>
            <w:shd w:fill="E8EEF5"/>
            <w:tcMar>
              <w:top w:w="80" w:type="dxa"/>
              <w:start w:w="120" w:type="dxa"/>
              <w:bottom w:w="80" w:type="dxa"/>
              <w:end w:w="120" w:type="dxa"/>
            </w:tcMar>
            <w:vAlign w:val="center"/>
          </w:tcPr>
          <w:p>
            <w:pPr>
              <w:spacing w:after="0" w:line="276" w:lineRule="auto"/>
              <w:jc w:val="left"/>
            </w:pPr>
            <w:r>
              <w:rPr>
                <w:b/>
                <w:color w:val="1F4D78"/>
                <w:sz w:val="19"/>
              </w:rPr>
              <w:t>If increased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spike_excess_fraction</w:t>
            </w:r>
          </w:p>
        </w:tc>
        <w:tc>
          <w:tcPr>
            <w:tcW w:type="dxa" w:w="3900"/>
            <w:tcMar>
              <w:top w:w="80" w:type="dxa"/>
              <w:start w:w="120" w:type="dxa"/>
              <w:bottom w:w="80" w:type="dxa"/>
              <w:end w:w="120" w:type="dxa"/>
            </w:tcMar>
            <w:vAlign w:val="center"/>
          </w:tcPr>
          <w:p>
            <w:pPr>
              <w:spacing w:after="0" w:line="276" w:lineRule="auto"/>
            </w:pPr>
            <w:r>
              <w:rPr>
                <w:sz w:val="19"/>
              </w:rPr>
              <w:t>How high the candidate must be above the wider neighbour baseline.</w:t>
            </w:r>
          </w:p>
        </w:tc>
        <w:tc>
          <w:tcPr>
            <w:tcW w:type="dxa" w:w="2660"/>
            <w:tcMar>
              <w:top w:w="80" w:type="dxa"/>
              <w:start w:w="120" w:type="dxa"/>
              <w:bottom w:w="80" w:type="dxa"/>
              <w:end w:w="120" w:type="dxa"/>
            </w:tcMar>
            <w:vAlign w:val="center"/>
          </w:tcPr>
          <w:p>
            <w:pPr>
              <w:spacing w:after="0" w:line="276" w:lineRule="auto"/>
            </w:pPr>
            <w:r>
              <w:rPr>
                <w:sz w:val="19"/>
              </w:rPr>
              <w:t>Fewer, stronger spikes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spike_neighbour_inner_arcsec</w:t>
            </w:r>
          </w:p>
        </w:tc>
        <w:tc>
          <w:tcPr>
            <w:tcW w:type="dxa" w:w="3900"/>
            <w:tcMar>
              <w:top w:w="80" w:type="dxa"/>
              <w:start w:w="120" w:type="dxa"/>
              <w:bottom w:w="80" w:type="dxa"/>
              <w:end w:w="120" w:type="dxa"/>
            </w:tcMar>
            <w:vAlign w:val="center"/>
          </w:tcPr>
          <w:p>
            <w:pPr>
              <w:spacing w:after="0" w:line="276" w:lineRule="auto"/>
            </w:pPr>
            <w:r>
              <w:rPr>
                <w:sz w:val="19"/>
              </w:rPr>
              <w:t>How close to the candidate the baseline zone begins.</w:t>
            </w:r>
          </w:p>
        </w:tc>
        <w:tc>
          <w:tcPr>
            <w:tcW w:type="dxa" w:w="2660"/>
            <w:tcMar>
              <w:top w:w="80" w:type="dxa"/>
              <w:start w:w="120" w:type="dxa"/>
              <w:bottom w:w="80" w:type="dxa"/>
              <w:end w:w="120" w:type="dxa"/>
            </w:tcMar>
            <w:vAlign w:val="center"/>
          </w:tcPr>
          <w:p>
            <w:pPr>
              <w:spacing w:after="0" w:line="276" w:lineRule="auto"/>
            </w:pPr>
            <w:r>
              <w:rPr>
                <w:sz w:val="19"/>
              </w:rPr>
              <w:t>Baseline ignores more near-candidate structure.</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spike_neighbour_outer_arcsec</w:t>
            </w:r>
          </w:p>
        </w:tc>
        <w:tc>
          <w:tcPr>
            <w:tcW w:type="dxa" w:w="3900"/>
            <w:tcMar>
              <w:top w:w="80" w:type="dxa"/>
              <w:start w:w="120" w:type="dxa"/>
              <w:bottom w:w="80" w:type="dxa"/>
              <w:end w:w="120" w:type="dxa"/>
            </w:tcMar>
            <w:vAlign w:val="center"/>
          </w:tcPr>
          <w:p>
            <w:pPr>
              <w:spacing w:after="0" w:line="276" w:lineRule="auto"/>
            </w:pPr>
            <w:r>
              <w:rPr>
                <w:sz w:val="19"/>
              </w:rPr>
              <w:t>How far from the candidate the baseline zone extends.</w:t>
            </w:r>
          </w:p>
        </w:tc>
        <w:tc>
          <w:tcPr>
            <w:tcW w:type="dxa" w:w="2660"/>
            <w:tcMar>
              <w:top w:w="80" w:type="dxa"/>
              <w:start w:w="120" w:type="dxa"/>
              <w:bottom w:w="80" w:type="dxa"/>
              <w:end w:w="120" w:type="dxa"/>
            </w:tcMar>
            <w:vAlign w:val="center"/>
          </w:tcPr>
          <w:p>
            <w:pPr>
              <w:spacing w:after="0" w:line="276" w:lineRule="auto"/>
            </w:pPr>
            <w:r>
              <w:rPr>
                <w:sz w:val="19"/>
              </w:rPr>
              <w:t>Baseline uses a wider radial context.</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spike_side_offset_samples</w:t>
            </w:r>
          </w:p>
        </w:tc>
        <w:tc>
          <w:tcPr>
            <w:tcW w:type="dxa" w:w="3900"/>
            <w:tcMar>
              <w:top w:w="80" w:type="dxa"/>
              <w:start w:w="120" w:type="dxa"/>
              <w:bottom w:w="80" w:type="dxa"/>
              <w:end w:w="120" w:type="dxa"/>
            </w:tcMar>
            <w:vAlign w:val="center"/>
          </w:tcPr>
          <w:p>
            <w:pPr>
              <w:spacing w:after="0" w:line="276" w:lineRule="auto"/>
            </w:pPr>
            <w:r>
              <w:rPr>
                <w:sz w:val="19"/>
              </w:rPr>
              <w:t>How far left/right the sharpness side samples are.</w:t>
            </w:r>
          </w:p>
        </w:tc>
        <w:tc>
          <w:tcPr>
            <w:tcW w:type="dxa" w:w="2660"/>
            <w:tcMar>
              <w:top w:w="80" w:type="dxa"/>
              <w:start w:w="120" w:type="dxa"/>
              <w:bottom w:w="80" w:type="dxa"/>
              <w:end w:w="120" w:type="dxa"/>
            </w:tcMar>
            <w:vAlign w:val="center"/>
          </w:tcPr>
          <w:p>
            <w:pPr>
              <w:spacing w:after="0" w:line="276" w:lineRule="auto"/>
            </w:pPr>
            <w:r>
              <w:rPr>
                <w:sz w:val="19"/>
              </w:rPr>
              <w:t>Sharpness is tested over a broader local span.</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spike_side_drop_fraction</w:t>
            </w:r>
          </w:p>
        </w:tc>
        <w:tc>
          <w:tcPr>
            <w:tcW w:type="dxa" w:w="3900"/>
            <w:tcMar>
              <w:top w:w="80" w:type="dxa"/>
              <w:start w:w="120" w:type="dxa"/>
              <w:bottom w:w="80" w:type="dxa"/>
              <w:end w:w="120" w:type="dxa"/>
            </w:tcMar>
            <w:vAlign w:val="center"/>
          </w:tcPr>
          <w:p>
            <w:pPr>
              <w:spacing w:after="0" w:line="276" w:lineRule="auto"/>
            </w:pPr>
            <w:r>
              <w:rPr>
                <w:sz w:val="19"/>
              </w:rPr>
              <w:t>How much the candidate must exceed those side samples.</w:t>
            </w:r>
          </w:p>
        </w:tc>
        <w:tc>
          <w:tcPr>
            <w:tcW w:type="dxa" w:w="2660"/>
            <w:tcMar>
              <w:top w:w="80" w:type="dxa"/>
              <w:start w:w="120" w:type="dxa"/>
              <w:bottom w:w="80" w:type="dxa"/>
              <w:end w:w="120" w:type="dxa"/>
            </w:tcMar>
            <w:vAlign w:val="center"/>
          </w:tcPr>
          <w:p>
            <w:pPr>
              <w:spacing w:after="0" w:line="276" w:lineRule="auto"/>
            </w:pPr>
            <w:r>
              <w:rPr>
                <w:sz w:val="19"/>
              </w:rPr>
              <w:t>Only pointier peaks pass.</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spike_center_exclusion_arcsec</w:t>
            </w:r>
          </w:p>
        </w:tc>
        <w:tc>
          <w:tcPr>
            <w:tcW w:type="dxa" w:w="3900"/>
            <w:tcMar>
              <w:top w:w="80" w:type="dxa"/>
              <w:start w:w="120" w:type="dxa"/>
              <w:bottom w:w="80" w:type="dxa"/>
              <w:end w:w="120" w:type="dxa"/>
            </w:tcMar>
            <w:vAlign w:val="center"/>
          </w:tcPr>
          <w:p>
            <w:pPr>
              <w:spacing w:after="0" w:line="276" w:lineRule="auto"/>
            </w:pPr>
            <w:r>
              <w:rPr>
                <w:sz w:val="19"/>
              </w:rPr>
              <w:t>Radius around the galaxy centre where spike testing is skipped.</w:t>
            </w:r>
          </w:p>
        </w:tc>
        <w:tc>
          <w:tcPr>
            <w:tcW w:type="dxa" w:w="2660"/>
            <w:tcMar>
              <w:top w:w="80" w:type="dxa"/>
              <w:start w:w="120" w:type="dxa"/>
              <w:bottom w:w="80" w:type="dxa"/>
              <w:end w:w="120" w:type="dxa"/>
            </w:tcMar>
            <w:vAlign w:val="center"/>
          </w:tcPr>
          <w:p>
            <w:pPr>
              <w:spacing w:after="0" w:line="276" w:lineRule="auto"/>
            </w:pPr>
            <w:r>
              <w:rPr>
                <w:sz w:val="19"/>
              </w:rPr>
              <w:t>More central structure is ignored.</w:t>
            </w:r>
          </w:p>
        </w:tc>
      </w:tr>
      <w:tr>
        <w:trPr>
          <w:cantSplit/>
        </w:trPr>
        <w:tc>
          <w:tcPr>
            <w:tcW w:type="dxa" w:w="2800"/>
            <w:tcMar>
              <w:top w:w="80" w:type="dxa"/>
              <w:start w:w="120" w:type="dxa"/>
              <w:bottom w:w="80" w:type="dxa"/>
              <w:end w:w="120" w:type="dxa"/>
            </w:tcMar>
            <w:vAlign w:val="center"/>
          </w:tcPr>
          <w:p>
            <w:pPr>
              <w:spacing w:after="0" w:line="276" w:lineRule="auto"/>
            </w:pPr>
            <w:r>
              <w:rPr>
                <w:sz w:val="19"/>
              </w:rPr>
              <w:t>spike_window_samples</w:t>
            </w:r>
          </w:p>
        </w:tc>
        <w:tc>
          <w:tcPr>
            <w:tcW w:type="dxa" w:w="3900"/>
            <w:tcMar>
              <w:top w:w="80" w:type="dxa"/>
              <w:start w:w="120" w:type="dxa"/>
              <w:bottom w:w="80" w:type="dxa"/>
              <w:end w:w="120" w:type="dxa"/>
            </w:tcMar>
            <w:vAlign w:val="center"/>
          </w:tcPr>
          <w:p>
            <w:pPr>
              <w:spacing w:after="0" w:line="276" w:lineRule="auto"/>
            </w:pPr>
            <w:r>
              <w:rPr>
                <w:sz w:val="19"/>
              </w:rPr>
              <w:t>How many neighbouring profile samples are added around each detected spike.</w:t>
            </w:r>
          </w:p>
        </w:tc>
        <w:tc>
          <w:tcPr>
            <w:tcW w:type="dxa" w:w="2660"/>
            <w:tcMar>
              <w:top w:w="80" w:type="dxa"/>
              <w:start w:w="120" w:type="dxa"/>
              <w:bottom w:w="80" w:type="dxa"/>
              <w:end w:w="120" w:type="dxa"/>
            </w:tcMar>
            <w:vAlign w:val="center"/>
          </w:tcPr>
          <w:p>
            <w:pPr>
              <w:spacing w:after="0" w:line="276" w:lineRule="auto"/>
            </w:pPr>
            <w:r>
              <w:rPr>
                <w:sz w:val="19"/>
              </w:rPr>
              <w:t>Coverage becomes less brittle but more permissive.</w:t>
            </w:r>
          </w:p>
        </w:tc>
      </w:tr>
    </w:tbl>
    <w:p/>
    <w:p>
      <w:pPr>
        <w:pStyle w:val="Heading1"/>
      </w:pPr>
      <w:r>
        <w:t>Practical reading of the gate</w:t>
      </w:r>
    </w:p>
    <w:p>
      <w:pPr/>
      <w:r>
        <w:t>A detected spike sample is therefore not just a bright point. It is a bright point that is off-centre, locally peak-like, high relative to a wider radial neighbourhood, and sharp relative to nearby side samples. The expanded spike window then turns that point decision into a small target region. The final foreground mask keeps residual-image segments only when they cross those target regions.</w:t>
      </w:r>
    </w:p>
    <w:p>
      <w:pPr>
        <w:pStyle w:val="Heading1"/>
        <w:keepNext/>
        <w:pageBreakBefore w:val="0"/>
      </w:pPr>
      <w:r>
        <w:t>Systematic documentation review - 17 August 2026</w:t>
      </w:r>
    </w:p>
    <w:p>
      <w:pPr>
        <w:spacing w:after="100"/>
      </w:pPr>
      <w:r>
        <w:rPr>
          <w:rFonts w:ascii="Calibri" w:hAnsi="Calibri"/>
          <w:b/>
          <w:sz w:val="21"/>
        </w:rPr>
        <w:t xml:space="preserve">Review classification: </w:t>
      </w:r>
      <w:r>
        <w:rPr>
          <w:rFonts w:ascii="Calibri" w:hAnsi="Calibri"/>
          <w:sz w:val="21"/>
        </w:rPr>
        <w:t>Reviewed - explanatory reference remains valid</w:t>
      </w:r>
    </w:p>
    <w:p>
      <w:pPr>
        <w:spacing w:after="100"/>
      </w:pPr>
      <w:r>
        <w:rPr>
          <w:rFonts w:ascii="Calibri" w:hAnsi="Calibri"/>
          <w:b/>
          <w:sz w:val="21"/>
        </w:rPr>
        <w:t xml:space="preserve">Updates made: </w:t>
      </w:r>
      <w:r>
        <w:rPr>
          <w:rFonts w:ascii="Calibri" w:hAnsi="Calibri"/>
          <w:sz w:val="21"/>
        </w:rPr>
        <w:t>Definitions of spike samples, side-drop tests, neighbour baselines and central exclusion were reviewed; no Toy Objects-specific correction was required.</w:t>
      </w:r>
    </w:p>
    <w:p>
      <w:pPr>
        <w:spacing w:after="80"/>
      </w:pPr>
      <w:r>
        <w:rPr>
          <w:rFonts w:ascii="Calibri" w:hAnsi="Calibri"/>
          <w:b/>
          <w:sz w:val="21"/>
        </w:rPr>
        <w:t xml:space="preserve">Current interpretation: </w:t>
      </w:r>
      <w:r>
        <w:rPr>
          <w:rFonts w:ascii="Calibri" w:hAnsi="Calibri"/>
          <w:sz w:val="21"/>
        </w:rPr>
        <w:t>Use this document to interpret Spike Gate samples only. It is independent of the final Toy Objects method comparison.</w:t>
      </w:r>
    </w:p>
    <w:p>
      <w:pPr>
        <w:spacing w:after="0"/>
      </w:pPr>
      <w:r>
        <w:t>Authoritative combined outcome: SEP and MTObjects Masking Comparison and Recommendations 20260817.docx. Full optimisation history and final science-image SEP fold records: Foreground Masking Optimisation Results.xlsx.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color w:val="1F4D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