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Interactive Object Recovery</w:t>
      </w:r>
    </w:p>
    <w:p>
      <w:pPr>
        <w:spacing w:after="280"/>
      </w:pPr>
      <w:r>
        <w:rPr>
          <w:i/>
          <w:color w:val="555555"/>
          <w:sz w:val="24"/>
        </w:rPr>
        <w:t>User guide for synthetic foreground-object injection and recovery testing</w:t>
      </w:r>
    </w:p>
    <w:p>
      <w:r>
        <w:rPr>
          <w:b/>
          <w:i w:val="0"/>
          <w:color w:val="1F4D78"/>
        </w:rPr>
        <w:t xml:space="preserve">Purpose. </w:t>
      </w:r>
      <w:r>
        <w:t xml:space="preserve">This document describes the new standalone program </w:t>
      </w:r>
      <w:r>
        <w:rPr>
          <w:b/>
          <w:i w:val="0"/>
        </w:rPr>
        <w:t>interactive object recovery.py</w:t>
      </w:r>
      <w:r>
        <w:t>, which tests whether the current foreground-mask pipeline can recover known synthetic objects injected into a user-selected baseline galaxy image.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700"/>
            <w:tcMar>
              <w:top w:w="80" w:type="dxa"/>
              <w:start w:w="120" w:type="dxa"/>
              <w:bottom w:w="80" w:type="dxa"/>
              <w:end w:w="120" w:type="dxa"/>
            </w:tcMar>
            <w:vAlign w:val="center"/>
            <w:shd w:fill="E8EEF5"/>
          </w:tcPr>
          <w:p>
            <w:pPr>
              <w:spacing w:after="60" w:line="276" w:lineRule="auto"/>
            </w:pPr>
            <w:r>
              <w:rPr>
                <w:b/>
                <w:color w:val="0B2545"/>
                <w:sz w:val="20"/>
              </w:rPr>
              <w:t>Item</w:t>
            </w:r>
          </w:p>
        </w:tc>
        <w:tc>
          <w:tcPr>
            <w:tcW w:type="dxa" w:w="6660"/>
            <w:tcMar>
              <w:top w:w="80" w:type="dxa"/>
              <w:start w:w="120" w:type="dxa"/>
              <w:bottom w:w="80" w:type="dxa"/>
              <w:end w:w="120" w:type="dxa"/>
            </w:tcMar>
            <w:vAlign w:val="center"/>
            <w:shd w:fill="E8EEF5"/>
          </w:tcPr>
          <w:p>
            <w:pPr>
              <w:spacing w:after="60" w:line="276" w:lineRule="auto"/>
            </w:pPr>
            <w:r>
              <w:rPr>
                <w:b/>
                <w:color w:val="0B2545"/>
                <w:sz w:val="20"/>
              </w:rPr>
              <w:t>Guidance</w:t>
            </w:r>
          </w:p>
        </w:tc>
      </w:tr>
      <w:tr>
        <w:tc>
          <w:tcPr>
            <w:tcW w:type="dxa" w:w="2700"/>
            <w:tcMar>
              <w:top w:w="80" w:type="dxa"/>
              <w:start w:w="120" w:type="dxa"/>
              <w:bottom w:w="80" w:type="dxa"/>
              <w:end w:w="120" w:type="dxa"/>
            </w:tcMar>
            <w:vAlign w:val="center"/>
          </w:tcPr>
          <w:p>
            <w:pPr>
              <w:spacing w:after="60" w:line="276" w:lineRule="auto"/>
            </w:pPr>
            <w:r>
              <w:rPr>
                <w:sz w:val="20"/>
              </w:rPr>
              <w:t>Program</w:t>
            </w:r>
          </w:p>
        </w:tc>
        <w:tc>
          <w:tcPr>
            <w:tcW w:type="dxa" w:w="6660"/>
            <w:tcMar>
              <w:top w:w="80" w:type="dxa"/>
              <w:start w:w="120" w:type="dxa"/>
              <w:bottom w:w="80" w:type="dxa"/>
              <w:end w:w="120" w:type="dxa"/>
            </w:tcMar>
            <w:vAlign w:val="center"/>
          </w:tcPr>
          <w:p>
            <w:pPr>
              <w:spacing w:after="60" w:line="276" w:lineRule="auto"/>
            </w:pPr>
            <w:r>
              <w:rPr>
                <w:sz w:val="20"/>
              </w:rPr>
              <w:t>Foreground Masking/Interactive tools/interactive object recovery.py</w:t>
            </w:r>
          </w:p>
        </w:tc>
      </w:tr>
      <w:tr>
        <w:tc>
          <w:tcPr>
            <w:tcW w:type="dxa" w:w="2700"/>
            <w:tcMar>
              <w:top w:w="80" w:type="dxa"/>
              <w:start w:w="120" w:type="dxa"/>
              <w:bottom w:w="80" w:type="dxa"/>
              <w:end w:w="120" w:type="dxa"/>
            </w:tcMar>
            <w:vAlign w:val="center"/>
          </w:tcPr>
          <w:p>
            <w:pPr>
              <w:spacing w:after="60" w:line="276" w:lineRule="auto"/>
            </w:pPr>
            <w:r>
              <w:rPr>
                <w:sz w:val="20"/>
              </w:rPr>
              <w:t>Baseline</w:t>
            </w:r>
          </w:p>
        </w:tc>
        <w:tc>
          <w:tcPr>
            <w:tcW w:type="dxa" w:w="6660"/>
            <w:tcMar>
              <w:top w:w="80" w:type="dxa"/>
              <w:start w:w="120" w:type="dxa"/>
              <w:bottom w:w="80" w:type="dxa"/>
              <w:end w:w="120" w:type="dxa"/>
            </w:tcMar>
            <w:vAlign w:val="center"/>
          </w:tcPr>
          <w:p>
            <w:pPr>
              <w:spacing w:after="60" w:line="276" w:lineRule="auto"/>
            </w:pPr>
            <w:r>
              <w:rPr>
                <w:sz w:val="20"/>
              </w:rPr>
              <w:t>A clean or relatively clean S4G galaxy image selected by the user, defaulting to IC0797 when available.</w:t>
            </w:r>
          </w:p>
        </w:tc>
      </w:tr>
      <w:tr>
        <w:tc>
          <w:tcPr>
            <w:tcW w:type="dxa" w:w="2700"/>
            <w:tcMar>
              <w:top w:w="80" w:type="dxa"/>
              <w:start w:w="120" w:type="dxa"/>
              <w:bottom w:w="80" w:type="dxa"/>
              <w:end w:w="120" w:type="dxa"/>
            </w:tcMar>
            <w:vAlign w:val="center"/>
          </w:tcPr>
          <w:p>
            <w:pPr>
              <w:spacing w:after="60" w:line="276" w:lineRule="auto"/>
            </w:pPr>
            <w:r>
              <w:rPr>
                <w:sz w:val="20"/>
              </w:rPr>
              <w:t>Core idea</w:t>
            </w:r>
          </w:p>
        </w:tc>
        <w:tc>
          <w:tcPr>
            <w:tcW w:type="dxa" w:w="6660"/>
            <w:tcMar>
              <w:top w:w="80" w:type="dxa"/>
              <w:start w:w="120" w:type="dxa"/>
              <w:bottom w:w="80" w:type="dxa"/>
              <w:end w:w="120" w:type="dxa"/>
            </w:tcMar>
            <w:vAlign w:val="center"/>
          </w:tcPr>
          <w:p>
            <w:pPr>
              <w:spacing w:after="60" w:line="276" w:lineRule="auto"/>
            </w:pPr>
            <w:r>
              <w:rPr>
                <w:sz w:val="20"/>
              </w:rPr>
              <w:t>Inject one toy object at a known deprojected location, run the existing mask code unchanged, then compare the recovered mask with the known truth mask.</w:t>
            </w:r>
          </w:p>
        </w:tc>
      </w:tr>
      <w:tr>
        <w:tc>
          <w:tcPr>
            <w:tcW w:type="dxa" w:w="2700"/>
            <w:tcMar>
              <w:top w:w="80" w:type="dxa"/>
              <w:start w:w="120" w:type="dxa"/>
              <w:bottom w:w="80" w:type="dxa"/>
              <w:end w:w="120" w:type="dxa"/>
            </w:tcMar>
            <w:vAlign w:val="center"/>
          </w:tcPr>
          <w:p>
            <w:pPr>
              <w:spacing w:after="60" w:line="276" w:lineRule="auto"/>
            </w:pPr>
            <w:r>
              <w:rPr>
                <w:sz w:val="20"/>
              </w:rPr>
              <w:t>Primary output</w:t>
            </w:r>
          </w:p>
        </w:tc>
        <w:tc>
          <w:tcPr>
            <w:tcW w:type="dxa" w:w="6660"/>
            <w:tcMar>
              <w:top w:w="80" w:type="dxa"/>
              <w:start w:w="120" w:type="dxa"/>
              <w:bottom w:w="80" w:type="dxa"/>
              <w:end w:w="120" w:type="dxa"/>
            </w:tcMar>
            <w:vAlign w:val="center"/>
          </w:tcPr>
          <w:p>
            <w:pPr>
              <w:spacing w:after="60" w:line="276" w:lineRule="auto"/>
            </w:pPr>
            <w:r>
              <w:rPr>
                <w:sz w:val="20"/>
              </w:rPr>
              <w:t>Interactive diagnostic panels plus optional PNG export to the remove-foreground output folder.</w:t>
            </w:r>
          </w:p>
        </w:tc>
      </w:tr>
    </w:tbl>
    <w:p>
      <w:pPr>
        <w:spacing w:after="40"/>
      </w:pPr>
    </w:p>
    <w:p>
      <w:pPr>
        <w:pStyle w:val="Heading1"/>
      </w:pPr>
      <w:r>
        <w:t>Quick Start</w:t>
      </w:r>
    </w:p>
    <w:p>
      <w:r>
        <w:rPr>
          <w:b/>
        </w:rPr>
        <w:t xml:space="preserve">Calculations are manual by design. </w:t>
      </w:r>
      <w:r>
        <w:t>Changing controls or clicking a new location updates the setup and preview, but the foreground-mask recovery run starts only when you press Calculate.</w:t>
      </w:r>
    </w:p>
    <w:p>
      <w:r>
        <w:t>From the repository root, run:</w:t>
      </w:r>
    </w:p>
    <w:p>
      <w:pPr>
        <w:spacing w:after="160"/>
        <w:ind w:left="360"/>
      </w:pPr>
      <w:r>
        <w:rPr>
          <w:rFonts w:ascii="Consolas" w:hAnsi="Consolas"/>
          <w:sz w:val="20"/>
        </w:rPr>
        <w:t>python "Foreground Masking\Interactive tools\interactive object recovery.py"</w:t>
      </w:r>
    </w:p>
    <w:p>
      <w:pPr>
        <w:pStyle w:val="ListNumber"/>
        <w:spacing w:after="80" w:line="300" w:lineRule="auto"/>
        <w:ind w:left="540" w:hanging="271"/>
      </w:pPr>
      <w:r>
        <w:t>Choose the PC path and baseline galaxy. IC0797 is the intended first baseline if it is available locally.</w:t>
      </w:r>
    </w:p>
    <w:p>
      <w:pPr>
        <w:pStyle w:val="ListNumber"/>
        <w:spacing w:after="80" w:line="300" w:lineRule="auto"/>
        <w:ind w:left="540" w:hanging="271"/>
      </w:pPr>
      <w:r>
        <w:t>Choose a toy object type and set its size, brightness, and shape parameters.</w:t>
      </w:r>
    </w:p>
    <w:p>
      <w:pPr>
        <w:pStyle w:val="ListNumber"/>
        <w:spacing w:after="80" w:line="300" w:lineRule="auto"/>
        <w:ind w:left="540" w:hanging="271"/>
      </w:pPr>
      <w:r>
        <w:t>Click in the baseline, injected, or recovery image panel to place the object in deprojected x,y coordinates. This updates the marker only; it does not run recovery.</w:t>
      </w:r>
    </w:p>
    <w:p>
      <w:pPr>
        <w:pStyle w:val="ListNumber"/>
        <w:spacing w:after="80" w:line="300" w:lineRule="auto"/>
        <w:ind w:left="540" w:hanging="271"/>
      </w:pPr>
      <w:r>
        <w:t>Press Calculate to run the injection and recovery calculation, then inspect the truth contour, recovered mask contour, recovery metrics, and major-axis profile comparison.</w:t>
      </w:r>
    </w:p>
    <w:p>
      <w:pPr>
        <w:pStyle w:val="ListNumber"/>
        <w:spacing w:after="80" w:line="300" w:lineRule="auto"/>
        <w:ind w:left="540" w:hanging="271"/>
      </w:pPr>
      <w:r>
        <w:t>Use Save PNG to capture the current diagnostic view for discussion or records.</w:t>
      </w:r>
    </w:p>
    <w:p>
      <w:pPr>
        <w:pStyle w:val="Heading1"/>
      </w:pPr>
      <w:r>
        <w:t>Interface Overview</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tcMar>
              <w:top w:w="80" w:type="dxa"/>
              <w:start w:w="120" w:type="dxa"/>
              <w:bottom w:w="80" w:type="dxa"/>
              <w:end w:w="120" w:type="dxa"/>
            </w:tcMar>
            <w:vAlign w:val="center"/>
            <w:shd w:fill="E8EEF5"/>
          </w:tcPr>
          <w:p>
            <w:pPr>
              <w:spacing w:after="60" w:line="276" w:lineRule="auto"/>
            </w:pPr>
            <w:r>
              <w:rPr>
                <w:b/>
                <w:color w:val="0B2545"/>
                <w:sz w:val="20"/>
              </w:rPr>
              <w:t>Area</w:t>
            </w:r>
          </w:p>
        </w:tc>
        <w:tc>
          <w:tcPr>
            <w:tcW w:type="dxa" w:w="3888"/>
            <w:tcMar>
              <w:top w:w="80" w:type="dxa"/>
              <w:start w:w="120" w:type="dxa"/>
              <w:bottom w:w="80" w:type="dxa"/>
              <w:end w:w="120" w:type="dxa"/>
            </w:tcMar>
            <w:vAlign w:val="center"/>
            <w:shd w:fill="E8EEF5"/>
          </w:tcPr>
          <w:p>
            <w:pPr>
              <w:spacing w:after="60" w:line="276" w:lineRule="auto"/>
            </w:pPr>
            <w:r>
              <w:rPr>
                <w:b/>
                <w:color w:val="0B2545"/>
                <w:sz w:val="20"/>
              </w:rPr>
              <w:t>What it controls</w:t>
            </w:r>
          </w:p>
        </w:tc>
        <w:tc>
          <w:tcPr>
            <w:tcW w:type="dxa" w:w="3528"/>
            <w:tcMar>
              <w:top w:w="80" w:type="dxa"/>
              <w:start w:w="120" w:type="dxa"/>
              <w:bottom w:w="80" w:type="dxa"/>
              <w:end w:w="120" w:type="dxa"/>
            </w:tcMar>
            <w:vAlign w:val="center"/>
            <w:shd w:fill="E8EEF5"/>
          </w:tcPr>
          <w:p>
            <w:pPr>
              <w:spacing w:after="60" w:line="276" w:lineRule="auto"/>
            </w:pPr>
            <w:r>
              <w:rPr>
                <w:b/>
                <w:color w:val="0B2545"/>
                <w:sz w:val="20"/>
              </w:rPr>
              <w:t>Notes</w:t>
            </w:r>
          </w:p>
        </w:tc>
      </w:tr>
      <w:tr>
        <w:tc>
          <w:tcPr>
            <w:tcW w:type="dxa" w:w="1944"/>
            <w:tcMar>
              <w:top w:w="80" w:type="dxa"/>
              <w:start w:w="120" w:type="dxa"/>
              <w:bottom w:w="80" w:type="dxa"/>
              <w:end w:w="120" w:type="dxa"/>
            </w:tcMar>
            <w:vAlign w:val="center"/>
          </w:tcPr>
          <w:p>
            <w:pPr>
              <w:spacing w:after="60" w:line="276" w:lineRule="auto"/>
            </w:pPr>
            <w:r>
              <w:rPr>
                <w:sz w:val="20"/>
              </w:rPr>
              <w:t>Baseline galaxy</w:t>
            </w:r>
          </w:p>
        </w:tc>
        <w:tc>
          <w:tcPr>
            <w:tcW w:type="dxa" w:w="3888"/>
            <w:tcMar>
              <w:top w:w="80" w:type="dxa"/>
              <w:start w:w="120" w:type="dxa"/>
              <w:bottom w:w="80" w:type="dxa"/>
              <w:end w:w="120" w:type="dxa"/>
            </w:tcMar>
            <w:vAlign w:val="center"/>
          </w:tcPr>
          <w:p>
            <w:pPr>
              <w:spacing w:after="60" w:line="276" w:lineRule="auto"/>
            </w:pPr>
            <w:r>
              <w:rPr>
                <w:sz w:val="20"/>
              </w:rPr>
              <w:t>PC selector and galaxy selector.</w:t>
            </w:r>
          </w:p>
        </w:tc>
        <w:tc>
          <w:tcPr>
            <w:tcW w:type="dxa" w:w="3528"/>
            <w:tcMar>
              <w:top w:w="80" w:type="dxa"/>
              <w:start w:w="120" w:type="dxa"/>
              <w:bottom w:w="80" w:type="dxa"/>
              <w:end w:w="120" w:type="dxa"/>
            </w:tcMar>
            <w:vAlign w:val="center"/>
          </w:tcPr>
          <w:p>
            <w:pPr>
              <w:spacing w:after="60" w:line="276" w:lineRule="auto"/>
            </w:pPr>
            <w:r>
              <w:rPr>
                <w:sz w:val="20"/>
              </w:rPr>
              <w:t>Uses the same manifest and machine-path logic as the current interactive Photutils parameter tester.</w:t>
            </w:r>
          </w:p>
        </w:tc>
      </w:tr>
      <w:tr>
        <w:tc>
          <w:tcPr>
            <w:tcW w:type="dxa" w:w="1944"/>
            <w:tcMar>
              <w:top w:w="80" w:type="dxa"/>
              <w:start w:w="120" w:type="dxa"/>
              <w:bottom w:w="80" w:type="dxa"/>
              <w:end w:w="120" w:type="dxa"/>
            </w:tcMar>
            <w:vAlign w:val="center"/>
          </w:tcPr>
          <w:p>
            <w:pPr>
              <w:spacing w:after="60" w:line="276" w:lineRule="auto"/>
            </w:pPr>
            <w:r>
              <w:rPr>
                <w:sz w:val="20"/>
              </w:rPr>
              <w:t>Toy object</w:t>
            </w:r>
          </w:p>
        </w:tc>
        <w:tc>
          <w:tcPr>
            <w:tcW w:type="dxa" w:w="3888"/>
            <w:tcMar>
              <w:top w:w="80" w:type="dxa"/>
              <w:start w:w="120" w:type="dxa"/>
              <w:bottom w:w="80" w:type="dxa"/>
              <w:end w:w="120" w:type="dxa"/>
            </w:tcMar>
            <w:vAlign w:val="center"/>
          </w:tcPr>
          <w:p>
            <w:pPr>
              <w:spacing w:after="60" w:line="276" w:lineRule="auto"/>
            </w:pPr>
            <w:r>
              <w:rPr>
                <w:sz w:val="20"/>
              </w:rPr>
              <w:t>Object type, deprojected position, brightness mode, magnitude or sigma peak, FWHM, shape, and truth-mask dilation.</w:t>
            </w:r>
          </w:p>
        </w:tc>
        <w:tc>
          <w:tcPr>
            <w:tcW w:type="dxa" w:w="3528"/>
            <w:tcMar>
              <w:top w:w="80" w:type="dxa"/>
              <w:start w:w="120" w:type="dxa"/>
              <w:bottom w:w="80" w:type="dxa"/>
              <w:end w:w="120" w:type="dxa"/>
            </w:tcMar>
            <w:vAlign w:val="center"/>
          </w:tcPr>
          <w:p>
            <w:pPr>
              <w:spacing w:after="60" w:line="276" w:lineRule="auto"/>
            </w:pPr>
            <w:r>
              <w:rPr>
                <w:sz w:val="20"/>
              </w:rPr>
              <w:t>Coordinates are in the deprojected bar-aligned view. Magnitude mode injects an integrated flux using the selected zero-flux value in Jy.</w:t>
            </w:r>
          </w:p>
        </w:tc>
      </w:tr>
      <w:tr>
        <w:tc>
          <w:tcPr>
            <w:tcW w:type="dxa" w:w="1944"/>
            <w:tcMar>
              <w:top w:w="80" w:type="dxa"/>
              <w:start w:w="120" w:type="dxa"/>
              <w:bottom w:w="80" w:type="dxa"/>
              <w:end w:w="120" w:type="dxa"/>
            </w:tcMar>
            <w:vAlign w:val="center"/>
          </w:tcPr>
          <w:p>
            <w:pPr>
              <w:spacing w:after="60" w:line="276" w:lineRule="auto"/>
            </w:pPr>
            <w:r>
              <w:rPr>
                <w:sz w:val="20"/>
              </w:rPr>
              <w:t>Mask baseline</w:t>
            </w:r>
          </w:p>
        </w:tc>
        <w:tc>
          <w:tcPr>
            <w:tcW w:type="dxa" w:w="3888"/>
            <w:tcMar>
              <w:top w:w="80" w:type="dxa"/>
              <w:start w:w="120" w:type="dxa"/>
              <w:bottom w:w="80" w:type="dxa"/>
              <w:end w:w="120" w:type="dxa"/>
            </w:tcMar>
            <w:vAlign w:val="center"/>
          </w:tcPr>
          <w:p>
            <w:pPr>
              <w:spacing w:after="60" w:line="276" w:lineRule="auto"/>
            </w:pPr>
            <w:r>
              <w:rPr>
                <w:sz w:val="20"/>
              </w:rPr>
              <w:t>Masking method and key Photutils parameters.</w:t>
            </w:r>
          </w:p>
        </w:tc>
        <w:tc>
          <w:tcPr>
            <w:tcW w:type="dxa" w:w="3528"/>
            <w:tcMar>
              <w:top w:w="80" w:type="dxa"/>
              <w:start w:w="120" w:type="dxa"/>
              <w:bottom w:w="80" w:type="dxa"/>
              <w:end w:w="120" w:type="dxa"/>
            </w:tcMar>
            <w:vAlign w:val="center"/>
          </w:tcPr>
          <w:p>
            <w:pPr>
              <w:spacing w:after="60" w:line="276" w:lineRule="auto"/>
            </w:pPr>
            <w:r>
              <w:rPr>
                <w:sz w:val="20"/>
              </w:rPr>
              <w:t>Defaults are taken from METHOD_DEFAULTS in the current parameter tester, so this program stays aligned with the baseline workflow.</w:t>
            </w:r>
          </w:p>
        </w:tc>
      </w:tr>
      <w:tr>
        <w:tc>
          <w:tcPr>
            <w:tcW w:type="dxa" w:w="1944"/>
            <w:tcMar>
              <w:top w:w="80" w:type="dxa"/>
              <w:start w:w="120" w:type="dxa"/>
              <w:bottom w:w="80" w:type="dxa"/>
              <w:end w:w="120" w:type="dxa"/>
            </w:tcMar>
            <w:vAlign w:val="center"/>
          </w:tcPr>
          <w:p>
            <w:pPr>
              <w:spacing w:after="60" w:line="276" w:lineRule="auto"/>
            </w:pPr>
            <w:r>
              <w:rPr>
                <w:sz w:val="20"/>
              </w:rPr>
              <w:t>Figure panels</w:t>
            </w:r>
          </w:p>
        </w:tc>
        <w:tc>
          <w:tcPr>
            <w:tcW w:type="dxa" w:w="3888"/>
            <w:tcMar>
              <w:top w:w="80" w:type="dxa"/>
              <w:start w:w="120" w:type="dxa"/>
              <w:bottom w:w="80" w:type="dxa"/>
              <w:end w:w="120" w:type="dxa"/>
            </w:tcMar>
            <w:vAlign w:val="center"/>
          </w:tcPr>
          <w:p>
            <w:r>
              <w:t>Baseline preview, injected image, recovery overlay, and bar-major-axis profile comparison after Calculate is pressed.</w:t>
            </w:r>
          </w:p>
        </w:tc>
        <w:tc>
          <w:tcPr>
            <w:tcW w:type="dxa" w:w="3528"/>
            <w:tcMar>
              <w:top w:w="80" w:type="dxa"/>
              <w:start w:w="120" w:type="dxa"/>
              <w:bottom w:w="80" w:type="dxa"/>
              <w:end w:w="120" w:type="dxa"/>
            </w:tcMar>
            <w:vAlign w:val="center"/>
          </w:tcPr>
          <w:p>
            <w:r>
              <w:t>Click image panels to move the synthetic object marker. Press Calculate when ready to run recovery.</w:t>
            </w:r>
          </w:p>
        </w:tc>
      </w:tr>
    </w:tbl>
    <w:p>
      <w:pPr>
        <w:spacing w:after="40"/>
      </w:pPr>
    </w:p>
    <w:p>
      <w:pPr>
        <w:pStyle w:val="Heading1"/>
      </w:pPr>
      <w:r>
        <w:t>Toy Object Models</w:t>
      </w:r>
    </w:p>
    <w:p>
      <w:r>
        <w:t>The first version intentionally injects one object at a time. This keeps the recovery result interpretable and makes it easier to isolate parameter failures before moving to batch experiments.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tcMar>
              <w:top w:w="80" w:type="dxa"/>
              <w:start w:w="120" w:type="dxa"/>
              <w:bottom w:w="80" w:type="dxa"/>
              <w:end w:w="120" w:type="dxa"/>
            </w:tcMar>
            <w:vAlign w:val="center"/>
            <w:shd w:fill="E8EEF5"/>
          </w:tcPr>
          <w:p>
            <w:pPr>
              <w:spacing w:after="60" w:line="276" w:lineRule="auto"/>
            </w:pPr>
            <w:r>
              <w:rPr>
                <w:b/>
                <w:color w:val="0B2545"/>
                <w:sz w:val="20"/>
              </w:rPr>
              <w:t>Object type</w:t>
            </w:r>
          </w:p>
        </w:tc>
        <w:tc>
          <w:tcPr>
            <w:tcW w:type="dxa" w:w="3816"/>
            <w:tcMar>
              <w:top w:w="80" w:type="dxa"/>
              <w:start w:w="120" w:type="dxa"/>
              <w:bottom w:w="80" w:type="dxa"/>
              <w:end w:w="120" w:type="dxa"/>
            </w:tcMar>
            <w:vAlign w:val="center"/>
            <w:shd w:fill="E8EEF5"/>
          </w:tcPr>
          <w:p>
            <w:pPr>
              <w:spacing w:after="60" w:line="276" w:lineRule="auto"/>
            </w:pPr>
            <w:r>
              <w:rPr>
                <w:b/>
                <w:color w:val="0B2545"/>
                <w:sz w:val="20"/>
              </w:rPr>
              <w:t>Model</w:t>
            </w:r>
          </w:p>
        </w:tc>
        <w:tc>
          <w:tcPr>
            <w:tcW w:type="dxa" w:w="3600"/>
            <w:tcMar>
              <w:top w:w="80" w:type="dxa"/>
              <w:start w:w="120" w:type="dxa"/>
              <w:bottom w:w="80" w:type="dxa"/>
              <w:end w:w="120" w:type="dxa"/>
            </w:tcMar>
            <w:vAlign w:val="center"/>
            <w:shd w:fill="E8EEF5"/>
          </w:tcPr>
          <w:p>
            <w:pPr>
              <w:spacing w:after="60" w:line="276" w:lineRule="auto"/>
            </w:pPr>
            <w:r>
              <w:rPr>
                <w:b/>
                <w:color w:val="0B2545"/>
                <w:sz w:val="20"/>
              </w:rPr>
              <w:t>Main use</w:t>
            </w:r>
          </w:p>
        </w:tc>
      </w:tr>
      <w:tr>
        <w:tc>
          <w:tcPr>
            <w:tcW w:type="dxa" w:w="1944"/>
            <w:tcMar>
              <w:top w:w="80" w:type="dxa"/>
              <w:start w:w="120" w:type="dxa"/>
              <w:bottom w:w="80" w:type="dxa"/>
              <w:end w:w="120" w:type="dxa"/>
            </w:tcMar>
            <w:vAlign w:val="center"/>
          </w:tcPr>
          <w:p>
            <w:pPr>
              <w:spacing w:after="60" w:line="276" w:lineRule="auto"/>
            </w:pPr>
            <w:r>
              <w:rPr>
                <w:sz w:val="20"/>
              </w:rPr>
              <w:t>Gaussian star</w:t>
            </w:r>
          </w:p>
        </w:tc>
        <w:tc>
          <w:tcPr>
            <w:tcW w:type="dxa" w:w="3816"/>
            <w:tcMar>
              <w:top w:w="80" w:type="dxa"/>
              <w:start w:w="120" w:type="dxa"/>
              <w:bottom w:w="80" w:type="dxa"/>
              <w:end w:w="120" w:type="dxa"/>
            </w:tcMar>
            <w:vAlign w:val="center"/>
          </w:tcPr>
          <w:p>
            <w:pPr>
              <w:spacing w:after="60" w:line="276" w:lineRule="auto"/>
            </w:pPr>
            <w:r>
              <w:rPr>
                <w:sz w:val="20"/>
              </w:rPr>
              <w:t>Circular Gaussian with peak amplitude and FWHM.</w:t>
            </w:r>
          </w:p>
        </w:tc>
        <w:tc>
          <w:tcPr>
            <w:tcW w:type="dxa" w:w="3600"/>
            <w:tcMar>
              <w:top w:w="80" w:type="dxa"/>
              <w:start w:w="120" w:type="dxa"/>
              <w:bottom w:w="80" w:type="dxa"/>
              <w:end w:w="120" w:type="dxa"/>
            </w:tcMar>
            <w:vAlign w:val="center"/>
          </w:tcPr>
          <w:p>
            <w:pPr>
              <w:spacing w:after="60" w:line="276" w:lineRule="auto"/>
            </w:pPr>
            <w:r>
              <w:rPr>
                <w:sz w:val="20"/>
              </w:rPr>
              <w:t>Basic compact-source recovery and npixels threshold behaviour.</w:t>
            </w:r>
          </w:p>
        </w:tc>
      </w:tr>
      <w:tr>
        <w:tc>
          <w:tcPr>
            <w:tcW w:type="dxa" w:w="1944"/>
            <w:tcMar>
              <w:top w:w="80" w:type="dxa"/>
              <w:start w:w="120" w:type="dxa"/>
              <w:bottom w:w="80" w:type="dxa"/>
              <w:end w:w="120" w:type="dxa"/>
            </w:tcMar>
            <w:vAlign w:val="center"/>
          </w:tcPr>
          <w:p>
            <w:pPr>
              <w:spacing w:after="60" w:line="276" w:lineRule="auto"/>
            </w:pPr>
            <w:r>
              <w:rPr>
                <w:sz w:val="20"/>
              </w:rPr>
              <w:t>Moffat star</w:t>
            </w:r>
          </w:p>
        </w:tc>
        <w:tc>
          <w:tcPr>
            <w:tcW w:type="dxa" w:w="3816"/>
            <w:tcMar>
              <w:top w:w="80" w:type="dxa"/>
              <w:start w:w="120" w:type="dxa"/>
              <w:bottom w:w="80" w:type="dxa"/>
              <w:end w:w="120" w:type="dxa"/>
            </w:tcMar>
            <w:vAlign w:val="center"/>
          </w:tcPr>
          <w:p>
            <w:pPr>
              <w:spacing w:after="60" w:line="276" w:lineRule="auto"/>
            </w:pPr>
            <w:r>
              <w:rPr>
                <w:sz w:val="20"/>
              </w:rPr>
              <w:t>Circular Moffat profile with adjustable beta.</w:t>
            </w:r>
          </w:p>
        </w:tc>
        <w:tc>
          <w:tcPr>
            <w:tcW w:type="dxa" w:w="3600"/>
            <w:tcMar>
              <w:top w:w="80" w:type="dxa"/>
              <w:start w:w="120" w:type="dxa"/>
              <w:bottom w:w="80" w:type="dxa"/>
              <w:end w:w="120" w:type="dxa"/>
            </w:tcMar>
            <w:vAlign w:val="center"/>
          </w:tcPr>
          <w:p>
            <w:pPr>
              <w:spacing w:after="60" w:line="276" w:lineRule="auto"/>
            </w:pPr>
            <w:r>
              <w:rPr>
                <w:sz w:val="20"/>
              </w:rPr>
              <w:t>PSF-like wings and broader stellar profiles.</w:t>
            </w:r>
          </w:p>
        </w:tc>
      </w:tr>
      <w:tr>
        <w:tc>
          <w:tcPr>
            <w:tcW w:type="dxa" w:w="1944"/>
            <w:tcMar>
              <w:top w:w="80" w:type="dxa"/>
              <w:start w:w="120" w:type="dxa"/>
              <w:bottom w:w="80" w:type="dxa"/>
              <w:end w:w="120" w:type="dxa"/>
            </w:tcMar>
            <w:vAlign w:val="center"/>
          </w:tcPr>
          <w:p>
            <w:pPr>
              <w:spacing w:after="60" w:line="276" w:lineRule="auto"/>
            </w:pPr>
            <w:r>
              <w:rPr>
                <w:sz w:val="20"/>
              </w:rPr>
              <w:t>Star cluster</w:t>
            </w:r>
          </w:p>
        </w:tc>
        <w:tc>
          <w:tcPr>
            <w:tcW w:type="dxa" w:w="3816"/>
            <w:tcMar>
              <w:top w:w="80" w:type="dxa"/>
              <w:start w:w="120" w:type="dxa"/>
              <w:bottom w:w="80" w:type="dxa"/>
              <w:end w:w="120" w:type="dxa"/>
            </w:tcMar>
            <w:vAlign w:val="center"/>
          </w:tcPr>
          <w:p>
            <w:pPr>
              <w:spacing w:after="60" w:line="276" w:lineRule="auto"/>
            </w:pPr>
            <w:r>
              <w:rPr>
                <w:sz w:val="20"/>
              </w:rPr>
              <w:t>Three offset Gaussian components with fixed relative positions and amplitudes.</w:t>
            </w:r>
          </w:p>
        </w:tc>
        <w:tc>
          <w:tcPr>
            <w:tcW w:type="dxa" w:w="3600"/>
            <w:tcMar>
              <w:top w:w="80" w:type="dxa"/>
              <w:start w:w="120" w:type="dxa"/>
              <w:bottom w:w="80" w:type="dxa"/>
              <w:end w:w="120" w:type="dxa"/>
            </w:tcMar>
            <w:vAlign w:val="center"/>
          </w:tcPr>
          <w:p>
            <w:pPr>
              <w:spacing w:after="60" w:line="276" w:lineRule="auto"/>
            </w:pPr>
            <w:r>
              <w:rPr>
                <w:sz w:val="20"/>
              </w:rPr>
              <w:t>Blended compact sources and deblending behaviour.</w:t>
            </w:r>
          </w:p>
        </w:tc>
      </w:tr>
      <w:tr>
        <w:tc>
          <w:tcPr>
            <w:tcW w:type="dxa" w:w="1944"/>
            <w:tcMar>
              <w:top w:w="80" w:type="dxa"/>
              <w:start w:w="120" w:type="dxa"/>
              <w:bottom w:w="80" w:type="dxa"/>
              <w:end w:w="120" w:type="dxa"/>
            </w:tcMar>
            <w:vAlign w:val="center"/>
          </w:tcPr>
          <w:p>
            <w:pPr>
              <w:spacing w:after="60" w:line="276" w:lineRule="auto"/>
            </w:pPr>
            <w:r>
              <w:rPr>
                <w:sz w:val="20"/>
              </w:rPr>
              <w:t>Compact galaxy</w:t>
            </w:r>
          </w:p>
        </w:tc>
        <w:tc>
          <w:tcPr>
            <w:tcW w:type="dxa" w:w="3816"/>
            <w:tcMar>
              <w:top w:w="80" w:type="dxa"/>
              <w:start w:w="120" w:type="dxa"/>
              <w:bottom w:w="80" w:type="dxa"/>
              <w:end w:w="120" w:type="dxa"/>
            </w:tcMar>
            <w:vAlign w:val="center"/>
          </w:tcPr>
          <w:p>
            <w:pPr>
              <w:spacing w:after="60" w:line="276" w:lineRule="auto"/>
            </w:pPr>
            <w:r>
              <w:rPr>
                <w:sz w:val="20"/>
              </w:rPr>
              <w:t>Elliptical Gaussian with axis ratio and position angle.</w:t>
            </w:r>
          </w:p>
        </w:tc>
        <w:tc>
          <w:tcPr>
            <w:tcW w:type="dxa" w:w="3600"/>
            <w:tcMar>
              <w:top w:w="80" w:type="dxa"/>
              <w:start w:w="120" w:type="dxa"/>
              <w:bottom w:w="80" w:type="dxa"/>
              <w:end w:w="120" w:type="dxa"/>
            </w:tcMar>
            <w:vAlign w:val="center"/>
          </w:tcPr>
          <w:p>
            <w:pPr>
              <w:spacing w:after="60" w:line="276" w:lineRule="auto"/>
            </w:pPr>
            <w:r>
              <w:rPr>
                <w:sz w:val="20"/>
              </w:rPr>
              <w:t>Small background galaxies or non-circular contaminants.</w:t>
            </w:r>
          </w:p>
        </w:tc>
      </w:tr>
    </w:tbl>
    <w:p>
      <w:pPr>
        <w:spacing w:after="40"/>
      </w:pPr>
    </w:p>
    <w:p>
      <w:r>
        <w:rPr>
          <w:b/>
          <w:color w:val="1F4D78"/>
        </w:rPr>
        <w:t xml:space="preserve">Brightness convention. </w:t>
      </w:r>
      <w:r>
        <w:t>The GUI supports two brightness modes. Peak residual sigma keeps the original threshold-testing behaviour. Integrated magnitude converts the requested magnitude into flux density using the editable zero-flux value in Jy, then scales the injected model so its integrated flux matches that magnitude. For S4G MJy/sr images this uses the pixel solid angle from the manifest pixel scale.</w:t>
      </w:r>
    </w:p>
    <w:p/>
    <w:p>
      <w:r>
        <w:rPr>
          <w:b/>
          <w:i w:val="0"/>
          <w:color w:val="1F4D78"/>
        </w:rPr>
        <w:t xml:space="preserve">Truth mask convention. </w:t>
      </w:r>
      <w:r>
        <w:t>The truth mask is built from the injected model pixels above 8 percent of the peak, then dilated by the user-selected truth dilation radius. This is deliberately simple and visible, not a claim about the physical PSF extent.</w:t>
      </w:r>
    </w:p>
    <w:p>
      <w:pPr>
        <w:pStyle w:val="Heading1"/>
      </w:pPr>
      <w:r>
        <w:t>Recovery Metrics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700"/>
            <w:tcMar>
              <w:top w:w="80" w:type="dxa"/>
              <w:start w:w="120" w:type="dxa"/>
              <w:bottom w:w="80" w:type="dxa"/>
              <w:end w:w="120" w:type="dxa"/>
            </w:tcMar>
            <w:vAlign w:val="center"/>
            <w:shd w:fill="E8EEF5"/>
          </w:tcPr>
          <w:p>
            <w:pPr>
              <w:spacing w:after="60" w:line="276" w:lineRule="auto"/>
            </w:pPr>
            <w:r>
              <w:rPr>
                <w:b/>
                <w:color w:val="0B2545"/>
                <w:sz w:val="20"/>
              </w:rPr>
              <w:t>Item</w:t>
            </w:r>
          </w:p>
        </w:tc>
        <w:tc>
          <w:tcPr>
            <w:tcW w:type="dxa" w:w="6660"/>
            <w:tcMar>
              <w:top w:w="80" w:type="dxa"/>
              <w:start w:w="120" w:type="dxa"/>
              <w:bottom w:w="80" w:type="dxa"/>
              <w:end w:w="120" w:type="dxa"/>
            </w:tcMar>
            <w:vAlign w:val="center"/>
            <w:shd w:fill="E8EEF5"/>
          </w:tcPr>
          <w:p>
            <w:pPr>
              <w:spacing w:after="60" w:line="276" w:lineRule="auto"/>
            </w:pPr>
            <w:r>
              <w:rPr>
                <w:b/>
                <w:color w:val="0B2545"/>
                <w:sz w:val="20"/>
              </w:rPr>
              <w:t>Guidance</w:t>
            </w:r>
          </w:p>
        </w:tc>
      </w:tr>
      <w:tr>
        <w:tc>
          <w:tcPr>
            <w:tcW w:type="dxa" w:w="2700"/>
            <w:tcMar>
              <w:top w:w="80" w:type="dxa"/>
              <w:start w:w="120" w:type="dxa"/>
              <w:bottom w:w="80" w:type="dxa"/>
              <w:end w:w="120" w:type="dxa"/>
            </w:tcMar>
            <w:vAlign w:val="center"/>
          </w:tcPr>
          <w:p>
            <w:pPr>
              <w:spacing w:after="60" w:line="276" w:lineRule="auto"/>
            </w:pPr>
            <w:r>
              <w:rPr>
                <w:sz w:val="20"/>
              </w:rPr>
              <w:t>Recall</w:t>
            </w:r>
          </w:p>
        </w:tc>
        <w:tc>
          <w:tcPr>
            <w:tcW w:type="dxa" w:w="6660"/>
            <w:tcMar>
              <w:top w:w="80" w:type="dxa"/>
              <w:start w:w="120" w:type="dxa"/>
              <w:bottom w:w="80" w:type="dxa"/>
              <w:end w:w="120" w:type="dxa"/>
            </w:tcMar>
            <w:vAlign w:val="center"/>
          </w:tcPr>
          <w:p>
            <w:pPr>
              <w:spacing w:after="60" w:line="276" w:lineRule="auto"/>
            </w:pPr>
            <w:r>
              <w:rPr>
                <w:sz w:val="20"/>
              </w:rPr>
              <w:t>Fraction of truth-mask pixels overlapped by the recovered mask. High recall means the injected object footprint was mostly protected.</w:t>
            </w:r>
          </w:p>
        </w:tc>
      </w:tr>
      <w:tr>
        <w:tc>
          <w:tcPr>
            <w:tcW w:type="dxa" w:w="2700"/>
            <w:tcMar>
              <w:top w:w="80" w:type="dxa"/>
              <w:start w:w="120" w:type="dxa"/>
              <w:bottom w:w="80" w:type="dxa"/>
              <w:end w:w="120" w:type="dxa"/>
            </w:tcMar>
            <w:vAlign w:val="center"/>
          </w:tcPr>
          <w:p>
            <w:pPr>
              <w:spacing w:after="60" w:line="276" w:lineRule="auto"/>
            </w:pPr>
            <w:r>
              <w:rPr>
                <w:sz w:val="20"/>
              </w:rPr>
              <w:t>Incremental recall</w:t>
            </w:r>
          </w:p>
        </w:tc>
        <w:tc>
          <w:tcPr>
            <w:tcW w:type="dxa" w:w="6660"/>
            <w:tcMar>
              <w:top w:w="80" w:type="dxa"/>
              <w:start w:w="120" w:type="dxa"/>
              <w:bottom w:w="80" w:type="dxa"/>
              <w:end w:w="120" w:type="dxa"/>
            </w:tcMar>
            <w:vAlign w:val="center"/>
          </w:tcPr>
          <w:p>
            <w:pPr>
              <w:spacing w:after="60" w:line="276" w:lineRule="auto"/>
            </w:pPr>
            <w:r>
              <w:rPr>
                <w:sz w:val="20"/>
              </w:rPr>
              <w:t>Fraction of truth pixels overlapped by mask pixels that appeared only after injection, excluding the baseline mask.</w:t>
            </w:r>
          </w:p>
        </w:tc>
      </w:tr>
      <w:tr>
        <w:tc>
          <w:tcPr>
            <w:tcW w:type="dxa" w:w="2700"/>
            <w:tcMar>
              <w:top w:w="80" w:type="dxa"/>
              <w:start w:w="120" w:type="dxa"/>
              <w:bottom w:w="80" w:type="dxa"/>
              <w:end w:w="120" w:type="dxa"/>
            </w:tcMar>
            <w:vAlign w:val="center"/>
          </w:tcPr>
          <w:p>
            <w:pPr>
              <w:spacing w:after="60" w:line="276" w:lineRule="auto"/>
            </w:pPr>
            <w:r>
              <w:rPr>
                <w:sz w:val="20"/>
              </w:rPr>
              <w:t>Incremental precision</w:t>
            </w:r>
          </w:p>
        </w:tc>
        <w:tc>
          <w:tcPr>
            <w:tcW w:type="dxa" w:w="6660"/>
            <w:tcMar>
              <w:top w:w="80" w:type="dxa"/>
              <w:start w:w="120" w:type="dxa"/>
              <w:bottom w:w="80" w:type="dxa"/>
              <w:end w:w="120" w:type="dxa"/>
            </w:tcMar>
            <w:vAlign w:val="center"/>
          </w:tcPr>
          <w:p>
            <w:pPr>
              <w:spacing w:after="60" w:line="276" w:lineRule="auto"/>
            </w:pPr>
            <w:r>
              <w:rPr>
                <w:sz w:val="20"/>
              </w:rPr>
              <w:t>Fraction of newly added mask pixels that overlap the injected truth mask. Low precision can indicate that the injection triggered extra unrelated masking.</w:t>
            </w:r>
          </w:p>
        </w:tc>
      </w:tr>
      <w:tr>
        <w:tc>
          <w:tcPr>
            <w:tcW w:type="dxa" w:w="2700"/>
            <w:tcMar>
              <w:top w:w="80" w:type="dxa"/>
              <w:start w:w="120" w:type="dxa"/>
              <w:bottom w:w="80" w:type="dxa"/>
              <w:end w:w="120" w:type="dxa"/>
            </w:tcMar>
            <w:vAlign w:val="center"/>
          </w:tcPr>
          <w:p>
            <w:pPr>
              <w:spacing w:after="60" w:line="276" w:lineRule="auto"/>
            </w:pPr>
            <w:r>
              <w:rPr>
                <w:sz w:val="20"/>
              </w:rPr>
              <w:t>Kept segments</w:t>
            </w:r>
          </w:p>
        </w:tc>
        <w:tc>
          <w:tcPr>
            <w:tcW w:type="dxa" w:w="6660"/>
            <w:tcMar>
              <w:top w:w="80" w:type="dxa"/>
              <w:start w:w="120" w:type="dxa"/>
              <w:bottom w:w="80" w:type="dxa"/>
              <w:end w:w="120" w:type="dxa"/>
            </w:tcMar>
            <w:vAlign w:val="center"/>
          </w:tcPr>
          <w:p>
            <w:pPr>
              <w:spacing w:after="60" w:line="276" w:lineRule="auto"/>
            </w:pPr>
            <w:r>
              <w:rPr>
                <w:sz w:val="20"/>
              </w:rPr>
              <w:t>Number of candidate segments kept by the mask filter after injection.</w:t>
            </w:r>
          </w:p>
        </w:tc>
      </w:tr>
      <w:tr>
        <w:tc>
          <w:tcPr>
            <w:tcW w:type="dxa" w:w="2700"/>
            <w:tcMar>
              <w:top w:w="80" w:type="dxa"/>
              <w:start w:w="120" w:type="dxa"/>
              <w:bottom w:w="80" w:type="dxa"/>
              <w:end w:w="120" w:type="dxa"/>
            </w:tcMar>
            <w:vAlign w:val="center"/>
          </w:tcPr>
          <w:p>
            <w:pPr>
              <w:spacing w:after="60" w:line="276" w:lineRule="auto"/>
            </w:pPr>
            <w:r>
              <w:rPr>
                <w:sz w:val="20"/>
              </w:rPr>
              <w:t>Profile error</w:t>
            </w:r>
          </w:p>
        </w:tc>
        <w:tc>
          <w:tcPr>
            <w:tcW w:type="dxa" w:w="6660"/>
            <w:tcMar>
              <w:top w:w="80" w:type="dxa"/>
              <w:start w:w="120" w:type="dxa"/>
              <w:bottom w:w="80" w:type="dxa"/>
              <w:end w:w="120" w:type="dxa"/>
            </w:tcMar>
            <w:vAlign w:val="center"/>
          </w:tcPr>
          <w:p>
            <w:pPr>
              <w:spacing w:after="60" w:line="276" w:lineRule="auto"/>
            </w:pPr>
            <w:r>
              <w:rPr>
                <w:sz w:val="20"/>
              </w:rPr>
              <w:t>Median absolute fractional difference between the original clean major-axis profile and the masked-plus-bridged injected profile.</w:t>
            </w:r>
          </w:p>
        </w:tc>
      </w:tr>
    </w:tbl>
    <w:p>
      <w:pPr>
        <w:spacing w:after="40"/>
      </w:pPr>
    </w:p>
    <w:p>
      <w:r>
        <w:rPr>
          <w:b/>
          <w:i w:val="0"/>
          <w:color w:val="1F4D78"/>
        </w:rPr>
        <w:t xml:space="preserve">Interpretation. </w:t>
      </w:r>
      <w:r>
        <w:t>For bar-profile science, the profile error is often the most important metric. A mask can recover the object visually but still leave profile contamination if the bridge is poor, or it can miss off-axis structure that has little effect on the major-axis profile.</w:t>
      </w:r>
    </w:p>
    <w:p>
      <w:pPr>
        <w:pStyle w:val="Heading1"/>
      </w:pPr>
      <w:r>
        <w:t>Suggested Test Protocol</w:t>
      </w:r>
    </w:p>
    <w:p>
      <w:pPr>
        <w:pStyle w:val="ListNumber"/>
        <w:spacing w:after="80" w:line="300" w:lineRule="auto"/>
        <w:ind w:left="540" w:hanging="271"/>
      </w:pPr>
      <w:r>
        <w:t>Begin with IC0797 or another galaxy with few obvious foreground contaminants.</w:t>
      </w:r>
    </w:p>
    <w:p>
      <w:pPr>
        <w:pStyle w:val="ListNumber"/>
        <w:spacing w:after="80" w:line="300" w:lineRule="auto"/>
        <w:ind w:left="540" w:hanging="271"/>
      </w:pPr>
      <w:r>
        <w:t>Place a Gaussian star on the deprojected bar major axis at several radii, including near the bar end and in the outer disk.</w:t>
      </w:r>
    </w:p>
    <w:p>
      <w:pPr>
        <w:pStyle w:val="ListNumber"/>
        <w:spacing w:after="80" w:line="300" w:lineRule="auto"/>
        <w:ind w:left="540" w:hanging="271"/>
      </w:pPr>
      <w:r>
        <w:t>Repeat with smaller FWHM values to find where the npixels detection threshold begins to fail for undersampled objects.</w:t>
      </w:r>
    </w:p>
    <w:p>
      <w:pPr>
        <w:pStyle w:val="ListNumber"/>
        <w:spacing w:after="80" w:line="300" w:lineRule="auto"/>
        <w:ind w:left="540" w:hanging="271"/>
      </w:pPr>
      <w:r>
        <w:t>Switch to Moffat stars to test whether wings require larger dilation or different significance thresholds.</w:t>
      </w:r>
    </w:p>
    <w:p>
      <w:pPr>
        <w:pStyle w:val="ListNumber"/>
        <w:spacing w:after="80" w:line="300" w:lineRule="auto"/>
        <w:ind w:left="540" w:hanging="271"/>
      </w:pPr>
      <w:r>
        <w:t>Use compact galaxies and clusters to check elongation, area, and deblending behaviour.</w:t>
      </w:r>
    </w:p>
    <w:p>
      <w:pPr>
        <w:pStyle w:val="ListNumber"/>
        <w:spacing w:after="80" w:line="300" w:lineRule="auto"/>
        <w:ind w:left="540" w:hanging="271"/>
      </w:pPr>
      <w:r>
        <w:t>Record the recovery metrics and saved PNGs for parameter sets that look promising or problematic.</w:t>
      </w:r>
    </w:p>
    <w:p>
      <w:pPr>
        <w:pStyle w:val="Heading1"/>
      </w:pPr>
      <w:r>
        <w:t>Practical Notes and Caveats</w:t>
      </w:r>
    </w:p>
    <w:p>
      <w:pPr>
        <w:pStyle w:val="ListBullet"/>
        <w:spacing w:after="80" w:line="300" w:lineRule="auto"/>
        <w:ind w:left="540" w:hanging="271"/>
      </w:pPr>
      <w:r>
        <w:t>Injected objects are added in the observed image plane, then displayed in the deprojected bar-aligned frame. This matches the mask pipeline, which operates on the observed image data.</w:t>
      </w:r>
    </w:p>
    <w:p>
      <w:pPr>
        <w:pStyle w:val="ListBullet"/>
        <w:spacing w:after="80" w:line="300" w:lineRule="auto"/>
        <w:ind w:left="540" w:hanging="271"/>
      </w:pPr>
      <w:r>
        <w:t>Very small injected stars can fail even when bright if too few pixels exceed the detection threshold. This is expected with the default npixels setting and is useful to test explicitly.</w:t>
      </w:r>
    </w:p>
    <w:p>
      <w:pPr>
        <w:pStyle w:val="ListBullet"/>
        <w:spacing w:after="80" w:line="300" w:lineRule="auto"/>
        <w:ind w:left="540" w:hanging="271"/>
      </w:pPr>
      <w:r>
        <w:t>The current program tests one synthetic object at a time. A later batch script can reuse the same injection and scoring functions to sweep over many positions and object parameters.</w:t>
      </w:r>
    </w:p>
    <w:p>
      <w:pPr>
        <w:pStyle w:val="ListBullet"/>
        <w:spacing w:after="80" w:line="300" w:lineRule="auto"/>
        <w:ind w:left="540" w:hanging="271"/>
      </w:pPr>
      <w:r>
        <w:t>The baseline mask is computed separately from the injected mask. Incremental metrics help distinguish recovery of the injected object from mask pixels that already existed in the baseline image.</w:t>
      </w:r>
    </w:p>
    <w:p>
      <w:pPr>
        <w:pStyle w:val="ListBullet"/>
        <w:spacing w:after="80" w:line="300" w:lineRule="auto"/>
        <w:ind w:left="540" w:hanging="271"/>
      </w:pPr>
      <w:r>
        <w:t>Saved PNGs are diagnostics only. The program does not alter the original FITS image or write synthetic FITS products in this first version.</w:t>
      </w:r>
    </w:p>
    <w:p>
      <w:pPr>
        <w:pStyle w:val="Heading1"/>
      </w:pPr>
      <w:r>
        <w:t>Relationship to Existing Code</w:t>
      </w:r>
    </w:p>
    <w:p>
      <w:r>
        <w:t>The program imports and reuses the current baseline tester rather than duplicating its masking behaviour. In particular, it uses:</w:t>
      </w:r>
    </w:p>
    <w:p>
      <w:pPr>
        <w:pStyle w:val="ListBullet"/>
        <w:spacing w:after="80" w:line="300" w:lineRule="auto"/>
        <w:ind w:left="540" w:hanging="271"/>
      </w:pPr>
      <w:r>
        <w:t>manifest and machine-path helpers for selecting galaxy FITS files;</w:t>
      </w:r>
    </w:p>
    <w:p>
      <w:pPr>
        <w:pStyle w:val="ListBullet"/>
        <w:spacing w:after="80" w:line="300" w:lineRule="auto"/>
        <w:ind w:left="540" w:hanging="271"/>
      </w:pPr>
      <w:r>
        <w:t>geometry parsing and deprojected image transforms;</w:t>
      </w:r>
    </w:p>
    <w:p>
      <w:pPr>
        <w:pStyle w:val="ListBullet"/>
        <w:spacing w:after="80" w:line="300" w:lineRule="auto"/>
        <w:ind w:left="540" w:hanging="271"/>
      </w:pPr>
      <w:r>
        <w:t>mask_products(data, geometry, params) as the authoritative foreground-mask call path;</w:t>
      </w:r>
    </w:p>
    <w:p>
      <w:pPr>
        <w:pStyle w:val="ListBullet"/>
        <w:spacing w:after="80" w:line="300" w:lineRule="auto"/>
        <w:ind w:left="540" w:hanging="271"/>
      </w:pPr>
      <w:r>
        <w:t>major-axis profile sampling and log-linear bridge logic for profile recovery diagnostics.</w:t>
      </w:r>
    </w:p>
    <w:p>
      <w:r>
        <w:t>This means changes to the baseline mask implementation should be reflected in object-recovery tests without rewriting the synthetic-injection GUI. The new code remains separate so experimental injection logic does not disturb the existing parameter tester.</w:t>
      </w:r>
    </w:p>
    <w:p>
      <w:pPr>
        <w:pStyle w:val="Heading1"/>
      </w:pPr>
      <w:r>
        <w:t>Possible Next Extensions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880"/>
            <w:tcMar>
              <w:top w:w="80" w:type="dxa"/>
              <w:start w:w="120" w:type="dxa"/>
              <w:bottom w:w="80" w:type="dxa"/>
              <w:end w:w="120" w:type="dxa"/>
            </w:tcMar>
            <w:vAlign w:val="center"/>
            <w:shd w:fill="E8EEF5"/>
          </w:tcPr>
          <w:p>
            <w:pPr>
              <w:spacing w:after="60" w:line="276" w:lineRule="auto"/>
            </w:pPr>
            <w:r>
              <w:rPr>
                <w:b/>
                <w:color w:val="0B2545"/>
                <w:sz w:val="20"/>
              </w:rPr>
              <w:t>Extension</w:t>
            </w:r>
          </w:p>
        </w:tc>
        <w:tc>
          <w:tcPr>
            <w:tcW w:type="dxa" w:w="6480"/>
            <w:tcMar>
              <w:top w:w="80" w:type="dxa"/>
              <w:start w:w="120" w:type="dxa"/>
              <w:bottom w:w="80" w:type="dxa"/>
              <w:end w:w="120" w:type="dxa"/>
            </w:tcMar>
            <w:vAlign w:val="center"/>
            <w:shd w:fill="E8EEF5"/>
          </w:tcPr>
          <w:p>
            <w:pPr>
              <w:spacing w:after="60" w:line="276" w:lineRule="auto"/>
            </w:pPr>
            <w:r>
              <w:rPr>
                <w:b/>
                <w:color w:val="0B2545"/>
                <w:sz w:val="20"/>
              </w:rPr>
              <w:t>Why it would help</w:t>
            </w:r>
          </w:p>
        </w:tc>
      </w:tr>
      <w:tr>
        <w:tc>
          <w:tcPr>
            <w:tcW w:type="dxa" w:w="2880"/>
            <w:tcMar>
              <w:top w:w="80" w:type="dxa"/>
              <w:start w:w="120" w:type="dxa"/>
              <w:bottom w:w="80" w:type="dxa"/>
              <w:end w:w="120" w:type="dxa"/>
            </w:tcMar>
            <w:vAlign w:val="center"/>
          </w:tcPr>
          <w:p>
            <w:pPr>
              <w:spacing w:after="60" w:line="276" w:lineRule="auto"/>
            </w:pPr>
            <w:r>
              <w:rPr>
                <w:sz w:val="20"/>
              </w:rPr>
              <w:t>Batch mode</w:t>
            </w:r>
          </w:p>
        </w:tc>
        <w:tc>
          <w:tcPr>
            <w:tcW w:type="dxa" w:w="6480"/>
            <w:tcMar>
              <w:top w:w="80" w:type="dxa"/>
              <w:start w:w="120" w:type="dxa"/>
              <w:bottom w:w="80" w:type="dxa"/>
              <w:end w:w="120" w:type="dxa"/>
            </w:tcMar>
            <w:vAlign w:val="center"/>
          </w:tcPr>
          <w:p>
            <w:pPr>
              <w:spacing w:after="60" w:line="276" w:lineRule="auto"/>
            </w:pPr>
            <w:r>
              <w:rPr>
                <w:sz w:val="20"/>
              </w:rPr>
              <w:t>Sweep object type, radius, brightness, and FWHM to produce recovery curves.</w:t>
            </w:r>
          </w:p>
        </w:tc>
      </w:tr>
      <w:tr>
        <w:tc>
          <w:tcPr>
            <w:tcW w:type="dxa" w:w="2880"/>
            <w:tcMar>
              <w:top w:w="80" w:type="dxa"/>
              <w:start w:w="120" w:type="dxa"/>
              <w:bottom w:w="80" w:type="dxa"/>
              <w:end w:w="120" w:type="dxa"/>
            </w:tcMar>
            <w:vAlign w:val="center"/>
          </w:tcPr>
          <w:p>
            <w:pPr>
              <w:spacing w:after="60" w:line="276" w:lineRule="auto"/>
            </w:pPr>
            <w:r>
              <w:rPr>
                <w:sz w:val="20"/>
              </w:rPr>
              <w:t>Synthetic FITS export</w:t>
            </w:r>
          </w:p>
        </w:tc>
        <w:tc>
          <w:tcPr>
            <w:tcW w:type="dxa" w:w="6480"/>
            <w:tcMar>
              <w:top w:w="80" w:type="dxa"/>
              <w:start w:w="120" w:type="dxa"/>
              <w:bottom w:w="80" w:type="dxa"/>
              <w:end w:w="120" w:type="dxa"/>
            </w:tcMar>
            <w:vAlign w:val="center"/>
          </w:tcPr>
          <w:p>
            <w:pPr>
              <w:spacing w:after="60" w:line="276" w:lineRule="auto"/>
            </w:pPr>
            <w:r>
              <w:rPr>
                <w:sz w:val="20"/>
              </w:rPr>
              <w:t>Save injected images and truth masks for independent review or reruns.</w:t>
            </w:r>
          </w:p>
        </w:tc>
      </w:tr>
      <w:tr>
        <w:tc>
          <w:tcPr>
            <w:tcW w:type="dxa" w:w="2880"/>
            <w:tcMar>
              <w:top w:w="80" w:type="dxa"/>
              <w:start w:w="120" w:type="dxa"/>
              <w:bottom w:w="80" w:type="dxa"/>
              <w:end w:w="120" w:type="dxa"/>
            </w:tcMar>
            <w:vAlign w:val="center"/>
          </w:tcPr>
          <w:p>
            <w:pPr>
              <w:spacing w:after="60" w:line="276" w:lineRule="auto"/>
            </w:pPr>
            <w:r>
              <w:rPr>
                <w:sz w:val="20"/>
              </w:rPr>
              <w:t>Multiple injections</w:t>
            </w:r>
          </w:p>
        </w:tc>
        <w:tc>
          <w:tcPr>
            <w:tcW w:type="dxa" w:w="6480"/>
            <w:tcMar>
              <w:top w:w="80" w:type="dxa"/>
              <w:start w:w="120" w:type="dxa"/>
              <w:bottom w:w="80" w:type="dxa"/>
              <w:end w:w="120" w:type="dxa"/>
            </w:tcMar>
            <w:vAlign w:val="center"/>
          </w:tcPr>
          <w:p>
            <w:pPr>
              <w:spacing w:after="60" w:line="276" w:lineRule="auto"/>
            </w:pPr>
            <w:r>
              <w:rPr>
                <w:sz w:val="20"/>
              </w:rPr>
              <w:t>Test crowding, blends, and accidental interactions between contaminants.</w:t>
            </w:r>
          </w:p>
        </w:tc>
      </w:tr>
      <w:tr>
        <w:tc>
          <w:tcPr>
            <w:tcW w:type="dxa" w:w="2880"/>
            <w:tcMar>
              <w:top w:w="80" w:type="dxa"/>
              <w:start w:w="120" w:type="dxa"/>
              <w:bottom w:w="80" w:type="dxa"/>
              <w:end w:w="120" w:type="dxa"/>
            </w:tcMar>
            <w:vAlign w:val="center"/>
          </w:tcPr>
          <w:p>
            <w:pPr>
              <w:spacing w:after="60" w:line="276" w:lineRule="auto"/>
            </w:pPr>
            <w:r>
              <w:rPr>
                <w:sz w:val="20"/>
              </w:rPr>
              <w:t>CSV results table</w:t>
            </w:r>
          </w:p>
        </w:tc>
        <w:tc>
          <w:tcPr>
            <w:tcW w:type="dxa" w:w="6480"/>
            <w:tcMar>
              <w:top w:w="80" w:type="dxa"/>
              <w:start w:w="120" w:type="dxa"/>
              <w:bottom w:w="80" w:type="dxa"/>
              <w:end w:w="120" w:type="dxa"/>
            </w:tcMar>
            <w:vAlign w:val="center"/>
          </w:tcPr>
          <w:p>
            <w:pPr>
              <w:spacing w:after="60" w:line="276" w:lineRule="auto"/>
            </w:pPr>
            <w:r>
              <w:rPr>
                <w:sz w:val="20"/>
              </w:rPr>
              <w:t>Make parameter comparisons reproducible and easier to plot.</w:t>
            </w:r>
          </w:p>
        </w:tc>
      </w:tr>
      <w:tr>
        <w:tc>
          <w:tcPr>
            <w:tcW w:type="dxa" w:w="2880"/>
            <w:tcMar>
              <w:top w:w="80" w:type="dxa"/>
              <w:start w:w="120" w:type="dxa"/>
              <w:bottom w:w="80" w:type="dxa"/>
              <w:end w:w="120" w:type="dxa"/>
            </w:tcMar>
            <w:vAlign w:val="center"/>
          </w:tcPr>
          <w:p>
            <w:pPr>
              <w:spacing w:after="60" w:line="276" w:lineRule="auto"/>
            </w:pPr>
            <w:r>
              <w:rPr>
                <w:sz w:val="20"/>
              </w:rPr>
              <w:t>Preset scenarios</w:t>
            </w:r>
          </w:p>
        </w:tc>
        <w:tc>
          <w:tcPr>
            <w:tcW w:type="dxa" w:w="6480"/>
            <w:tcMar>
              <w:top w:w="80" w:type="dxa"/>
              <w:start w:w="120" w:type="dxa"/>
              <w:bottom w:w="80" w:type="dxa"/>
              <w:end w:w="120" w:type="dxa"/>
            </w:tcMar>
            <w:vAlign w:val="center"/>
          </w:tcPr>
          <w:p>
            <w:pPr>
              <w:spacing w:after="60" w:line="276" w:lineRule="auto"/>
            </w:pPr>
            <w:r>
              <w:rPr>
                <w:sz w:val="20"/>
              </w:rPr>
              <w:t>Provide named test cases such as bar-axis star, off-axis galaxy, near-centre contaminant, and edge contaminant.</w:t>
            </w:r>
          </w:p>
        </w:tc>
      </w:tr>
    </w:tbl>
    <w:p>
      <w:pPr>
        <w:spacing w:after="40"/>
      </w:pPr>
    </w:p>
    <w:p>
      <w:pPr>
        <w:pStyle w:val="Heading1"/>
      </w:pPr>
      <w:r>
        <w:t>Operator Checklist</w:t>
      </w:r>
    </w:p>
    <w:p>
      <w:pPr>
        <w:pStyle w:val="ListBullet"/>
        <w:spacing w:after="80" w:line="300" w:lineRule="auto"/>
        <w:ind w:left="540" w:hanging="271"/>
      </w:pPr>
      <w:r>
        <w:t>Confirm the selected baseline galaxy is appropriate for a clean-background test.</w:t>
      </w:r>
    </w:p>
    <w:p>
      <w:pPr>
        <w:pStyle w:val="ListBullet"/>
        <w:spacing w:after="80" w:line="300" w:lineRule="auto"/>
        <w:ind w:left="540" w:hanging="271"/>
      </w:pPr>
      <w:r>
        <w:t>Set the object coordinates by clicking the deprojected image, not by observed-pixel coordinates.</w:t>
      </w:r>
    </w:p>
    <w:p>
      <w:pPr>
        <w:pStyle w:val="ListBullet"/>
        <w:spacing w:after="80" w:line="300" w:lineRule="auto"/>
        <w:ind w:left="540" w:hanging="271"/>
      </w:pPr>
      <w:r>
        <w:t>Check both recall and profile error before deciding that a parameter set is acceptable.</w:t>
      </w:r>
    </w:p>
    <w:p>
      <w:pPr>
        <w:pStyle w:val="ListBullet"/>
        <w:spacing w:after="80" w:line="300" w:lineRule="auto"/>
        <w:ind w:left="540" w:hanging="271"/>
      </w:pPr>
      <w:r>
        <w:t>Save a PNG for every parameter set that will be discussed or compared later.</w:t>
      </w:r>
    </w:p>
    <w:p>
      <w:pPr>
        <w:pStyle w:val="ListBullet"/>
        <w:spacing w:after="80" w:line="300" w:lineRule="auto"/>
        <w:ind w:left="540" w:hanging="271"/>
      </w:pPr>
      <w:r>
        <w:rPr>
          <w:b/>
          <w:color w:val="1F4D78"/>
        </w:rPr>
        <w:t xml:space="preserve">Magnitude zero point. </w:t>
      </w:r>
      <w:r>
        <w:t>The default zero flux is 280.9 Jy, appropriate for IRAC 3.6 micron Vega magnitudes. Change it if you want AB magnitudes, a different bandpass, or a custom calibration.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Interactive Object Recovery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Object Recovery Documentation</dc:title>
  <dc:subject>Synthetic object injection and foreground-mask recovery testing</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