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Foreground Masking Canonical Tools Reference</w:t>
      </w:r>
    </w:p>
    <w:p>
      <w:pPr>
        <w:jc w:val="center"/>
      </w:pPr>
      <w:r>
        <w:t>Updated 2026-07-29</w:t>
      </w:r>
    </w:p>
    <w:p>
      <w:r>
        <w:t>The maintained tools form a three-by-four set: optimise, interactive, and batch entry points for SEP and MTObjects with Spike Gate and Toy Objects. Each launcher auto-detects Laptop or Desktop from the configured hostname, with the code drive as a fallback. --pc remains available as an explicit override.</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Engine</w:t>
            </w:r>
          </w:p>
        </w:tc>
        <w:tc>
          <w:tcPr>
            <w:tcW w:type="dxa" w:w="2520"/>
          </w:tcPr>
          <w:p>
            <w:r>
              <w:rPr>
                <w:b/>
              </w:rPr>
              <w:t>Method</w:t>
            </w:r>
          </w:p>
        </w:tc>
        <w:tc>
          <w:tcPr>
            <w:tcW w:type="dxa" w:w="2520"/>
          </w:tcPr>
          <w:p>
            <w:r>
              <w:rPr>
                <w:b/>
              </w:rPr>
              <w:t>Role</w:t>
            </w:r>
          </w:p>
        </w:tc>
        <w:tc>
          <w:tcPr>
            <w:tcW w:type="dxa" w:w="2520"/>
          </w:tcPr>
          <w:p>
            <w:r>
              <w:rPr>
                <w:b/>
              </w:rPr>
              <w:t>Canonical filename</w:t>
            </w:r>
          </w:p>
        </w:tc>
      </w:tr>
      <w:tr>
        <w:tc>
          <w:tcPr>
            <w:tcW w:type="dxa" w:w="2520"/>
          </w:tcPr>
          <w:p>
            <w:r>
              <w:t>SEP</w:t>
            </w:r>
          </w:p>
        </w:tc>
        <w:tc>
          <w:tcPr>
            <w:tcW w:type="dxa" w:w="2520"/>
          </w:tcPr>
          <w:p>
            <w:r>
              <w:t>Spike Gate</w:t>
            </w:r>
          </w:p>
        </w:tc>
        <w:tc>
          <w:tcPr>
            <w:tcW w:type="dxa" w:w="2520"/>
          </w:tcPr>
          <w:p>
            <w:r>
              <w:t>Optimise</w:t>
            </w:r>
          </w:p>
        </w:tc>
        <w:tc>
          <w:tcPr>
            <w:tcW w:type="dxa" w:w="2520"/>
          </w:tcPr>
          <w:p>
            <w:r>
              <w:t>optimise_spike_gate_SEP.py</w:t>
            </w:r>
          </w:p>
        </w:tc>
      </w:tr>
      <w:tr>
        <w:tc>
          <w:tcPr>
            <w:tcW w:type="dxa" w:w="2520"/>
          </w:tcPr>
          <w:p>
            <w:r>
              <w:t>SEP</w:t>
            </w:r>
          </w:p>
        </w:tc>
        <w:tc>
          <w:tcPr>
            <w:tcW w:type="dxa" w:w="2520"/>
          </w:tcPr>
          <w:p>
            <w:r>
              <w:t>Spike Gate</w:t>
            </w:r>
          </w:p>
        </w:tc>
        <w:tc>
          <w:tcPr>
            <w:tcW w:type="dxa" w:w="2520"/>
          </w:tcPr>
          <w:p>
            <w:r>
              <w:t>Interactive</w:t>
            </w:r>
          </w:p>
        </w:tc>
        <w:tc>
          <w:tcPr>
            <w:tcW w:type="dxa" w:w="2520"/>
          </w:tcPr>
          <w:p>
            <w:r>
              <w:t>interactive_spike_gate_SEP.py</w:t>
            </w:r>
          </w:p>
        </w:tc>
      </w:tr>
      <w:tr>
        <w:tc>
          <w:tcPr>
            <w:tcW w:type="dxa" w:w="2520"/>
          </w:tcPr>
          <w:p>
            <w:r>
              <w:t>SEP</w:t>
            </w:r>
          </w:p>
        </w:tc>
        <w:tc>
          <w:tcPr>
            <w:tcW w:type="dxa" w:w="2520"/>
          </w:tcPr>
          <w:p>
            <w:r>
              <w:t>Spike Gate</w:t>
            </w:r>
          </w:p>
        </w:tc>
        <w:tc>
          <w:tcPr>
            <w:tcW w:type="dxa" w:w="2520"/>
          </w:tcPr>
          <w:p>
            <w:r>
              <w:t>Batch</w:t>
            </w:r>
          </w:p>
        </w:tc>
        <w:tc>
          <w:tcPr>
            <w:tcW w:type="dxa" w:w="2520"/>
          </w:tcPr>
          <w:p>
            <w:r>
              <w:t>batch_spike_gate_SEP.py</w:t>
            </w:r>
          </w:p>
        </w:tc>
      </w:tr>
      <w:tr>
        <w:tc>
          <w:tcPr>
            <w:tcW w:type="dxa" w:w="2520"/>
          </w:tcPr>
          <w:p>
            <w:r>
              <w:t>SEP</w:t>
            </w:r>
          </w:p>
        </w:tc>
        <w:tc>
          <w:tcPr>
            <w:tcW w:type="dxa" w:w="2520"/>
          </w:tcPr>
          <w:p>
            <w:r>
              <w:t>Toy Objects</w:t>
            </w:r>
          </w:p>
        </w:tc>
        <w:tc>
          <w:tcPr>
            <w:tcW w:type="dxa" w:w="2520"/>
          </w:tcPr>
          <w:p>
            <w:r>
              <w:t>Optimise</w:t>
            </w:r>
          </w:p>
        </w:tc>
        <w:tc>
          <w:tcPr>
            <w:tcW w:type="dxa" w:w="2520"/>
          </w:tcPr>
          <w:p>
            <w:r>
              <w:t>optimise_toy_objects_SEP.py</w:t>
            </w:r>
          </w:p>
        </w:tc>
      </w:tr>
      <w:tr>
        <w:tc>
          <w:tcPr>
            <w:tcW w:type="dxa" w:w="2520"/>
          </w:tcPr>
          <w:p>
            <w:r>
              <w:t>SEP</w:t>
            </w:r>
          </w:p>
        </w:tc>
        <w:tc>
          <w:tcPr>
            <w:tcW w:type="dxa" w:w="2520"/>
          </w:tcPr>
          <w:p>
            <w:r>
              <w:t>Toy Objects</w:t>
            </w:r>
          </w:p>
        </w:tc>
        <w:tc>
          <w:tcPr>
            <w:tcW w:type="dxa" w:w="2520"/>
          </w:tcPr>
          <w:p>
            <w:r>
              <w:t>Interactive</w:t>
            </w:r>
          </w:p>
        </w:tc>
        <w:tc>
          <w:tcPr>
            <w:tcW w:type="dxa" w:w="2520"/>
          </w:tcPr>
          <w:p>
            <w:r>
              <w:t>interactive_toy_objects_SEP.py</w:t>
            </w:r>
          </w:p>
        </w:tc>
      </w:tr>
      <w:tr>
        <w:tc>
          <w:tcPr>
            <w:tcW w:type="dxa" w:w="2520"/>
          </w:tcPr>
          <w:p>
            <w:r>
              <w:t>SEP</w:t>
            </w:r>
          </w:p>
        </w:tc>
        <w:tc>
          <w:tcPr>
            <w:tcW w:type="dxa" w:w="2520"/>
          </w:tcPr>
          <w:p>
            <w:r>
              <w:t>Toy Objects</w:t>
            </w:r>
          </w:p>
        </w:tc>
        <w:tc>
          <w:tcPr>
            <w:tcW w:type="dxa" w:w="2520"/>
          </w:tcPr>
          <w:p>
            <w:r>
              <w:t>Batch</w:t>
            </w:r>
          </w:p>
        </w:tc>
        <w:tc>
          <w:tcPr>
            <w:tcW w:type="dxa" w:w="2520"/>
          </w:tcPr>
          <w:p>
            <w:r>
              <w:t>batch_toy_objects_SEP.py</w:t>
            </w:r>
          </w:p>
        </w:tc>
      </w:tr>
      <w:tr>
        <w:tc>
          <w:tcPr>
            <w:tcW w:type="dxa" w:w="2520"/>
          </w:tcPr>
          <w:p>
            <w:r>
              <w:t>MTObjects</w:t>
            </w:r>
          </w:p>
        </w:tc>
        <w:tc>
          <w:tcPr>
            <w:tcW w:type="dxa" w:w="2520"/>
          </w:tcPr>
          <w:p>
            <w:r>
              <w:t>Spike Gate</w:t>
            </w:r>
          </w:p>
        </w:tc>
        <w:tc>
          <w:tcPr>
            <w:tcW w:type="dxa" w:w="2520"/>
          </w:tcPr>
          <w:p>
            <w:r>
              <w:t>Optimise</w:t>
            </w:r>
          </w:p>
        </w:tc>
        <w:tc>
          <w:tcPr>
            <w:tcW w:type="dxa" w:w="2520"/>
          </w:tcPr>
          <w:p>
            <w:r>
              <w:t>optimise_spike_gate_MTObjects.py</w:t>
            </w:r>
          </w:p>
        </w:tc>
      </w:tr>
      <w:tr>
        <w:tc>
          <w:tcPr>
            <w:tcW w:type="dxa" w:w="2520"/>
          </w:tcPr>
          <w:p>
            <w:r>
              <w:t>MTObjects</w:t>
            </w:r>
          </w:p>
        </w:tc>
        <w:tc>
          <w:tcPr>
            <w:tcW w:type="dxa" w:w="2520"/>
          </w:tcPr>
          <w:p>
            <w:r>
              <w:t>Spike Gate</w:t>
            </w:r>
          </w:p>
        </w:tc>
        <w:tc>
          <w:tcPr>
            <w:tcW w:type="dxa" w:w="2520"/>
          </w:tcPr>
          <w:p>
            <w:r>
              <w:t>Interactive</w:t>
            </w:r>
          </w:p>
        </w:tc>
        <w:tc>
          <w:tcPr>
            <w:tcW w:type="dxa" w:w="2520"/>
          </w:tcPr>
          <w:p>
            <w:r>
              <w:t>interactive_spike_gate_MTObjects.py</w:t>
            </w:r>
          </w:p>
        </w:tc>
      </w:tr>
      <w:tr>
        <w:tc>
          <w:tcPr>
            <w:tcW w:type="dxa" w:w="2520"/>
          </w:tcPr>
          <w:p>
            <w:r>
              <w:t>MTObjects</w:t>
            </w:r>
          </w:p>
        </w:tc>
        <w:tc>
          <w:tcPr>
            <w:tcW w:type="dxa" w:w="2520"/>
          </w:tcPr>
          <w:p>
            <w:r>
              <w:t>Spike Gate</w:t>
            </w:r>
          </w:p>
        </w:tc>
        <w:tc>
          <w:tcPr>
            <w:tcW w:type="dxa" w:w="2520"/>
          </w:tcPr>
          <w:p>
            <w:r>
              <w:t>Batch</w:t>
            </w:r>
          </w:p>
        </w:tc>
        <w:tc>
          <w:tcPr>
            <w:tcW w:type="dxa" w:w="2520"/>
          </w:tcPr>
          <w:p>
            <w:r>
              <w:t>batch_spike_gate_MTObjects.py</w:t>
            </w:r>
          </w:p>
        </w:tc>
      </w:tr>
      <w:tr>
        <w:tc>
          <w:tcPr>
            <w:tcW w:type="dxa" w:w="2520"/>
          </w:tcPr>
          <w:p>
            <w:r>
              <w:t>MTObjects</w:t>
            </w:r>
          </w:p>
        </w:tc>
        <w:tc>
          <w:tcPr>
            <w:tcW w:type="dxa" w:w="2520"/>
          </w:tcPr>
          <w:p>
            <w:r>
              <w:t>Toy Objects</w:t>
            </w:r>
          </w:p>
        </w:tc>
        <w:tc>
          <w:tcPr>
            <w:tcW w:type="dxa" w:w="2520"/>
          </w:tcPr>
          <w:p>
            <w:r>
              <w:t>Optimise</w:t>
            </w:r>
          </w:p>
        </w:tc>
        <w:tc>
          <w:tcPr>
            <w:tcW w:type="dxa" w:w="2520"/>
          </w:tcPr>
          <w:p>
            <w:r>
              <w:t>optimise_toy_objects_MTObjects.py</w:t>
            </w:r>
          </w:p>
        </w:tc>
      </w:tr>
      <w:tr>
        <w:tc>
          <w:tcPr>
            <w:tcW w:type="dxa" w:w="2520"/>
          </w:tcPr>
          <w:p>
            <w:r>
              <w:t>MTObjects</w:t>
            </w:r>
          </w:p>
        </w:tc>
        <w:tc>
          <w:tcPr>
            <w:tcW w:type="dxa" w:w="2520"/>
          </w:tcPr>
          <w:p>
            <w:r>
              <w:t>Toy Objects</w:t>
            </w:r>
          </w:p>
        </w:tc>
        <w:tc>
          <w:tcPr>
            <w:tcW w:type="dxa" w:w="2520"/>
          </w:tcPr>
          <w:p>
            <w:r>
              <w:t>Interactive</w:t>
            </w:r>
          </w:p>
        </w:tc>
        <w:tc>
          <w:tcPr>
            <w:tcW w:type="dxa" w:w="2520"/>
          </w:tcPr>
          <w:p>
            <w:r>
              <w:t>interactive_toy_objects_MTObjects.py</w:t>
            </w:r>
          </w:p>
        </w:tc>
      </w:tr>
      <w:tr>
        <w:tc>
          <w:tcPr>
            <w:tcW w:type="dxa" w:w="2520"/>
          </w:tcPr>
          <w:p>
            <w:r>
              <w:t>MTObjects</w:t>
            </w:r>
          </w:p>
        </w:tc>
        <w:tc>
          <w:tcPr>
            <w:tcW w:type="dxa" w:w="2520"/>
          </w:tcPr>
          <w:p>
            <w:r>
              <w:t>Toy Objects</w:t>
            </w:r>
          </w:p>
        </w:tc>
        <w:tc>
          <w:tcPr>
            <w:tcW w:type="dxa" w:w="2520"/>
          </w:tcPr>
          <w:p>
            <w:r>
              <w:t>Batch</w:t>
            </w:r>
          </w:p>
        </w:tc>
        <w:tc>
          <w:tcPr>
            <w:tcW w:type="dxa" w:w="2520"/>
          </w:tcPr>
          <w:p>
            <w:r>
              <w:t>batch_toy_objects_MTObjects.py</w:t>
            </w:r>
          </w:p>
        </w:tc>
      </w:tr>
    </w:tbl>
    <w:p>
      <w:pPr>
        <w:pStyle w:val="Heading1"/>
      </w:pPr>
      <w:r>
        <w:t>Launch Commands</w:t>
      </w:r>
    </w:p>
    <w:p>
      <w:r>
        <w:rPr>
          <w:rFonts w:ascii="Consolas" w:hAnsi="Consolas"/>
          <w:sz w:val="18"/>
        </w:rPr>
        <w:t>python "Foreground Masking\optimise_spike_gate_SEP.py"</w:t>
      </w:r>
    </w:p>
    <w:p>
      <w:r>
        <w:rPr>
          <w:rFonts w:ascii="Consolas" w:hAnsi="Consolas"/>
          <w:sz w:val="18"/>
        </w:rPr>
        <w:t>python "Foreground Masking\interactive_spike_gate_SEP.py"</w:t>
      </w:r>
    </w:p>
    <w:p>
      <w:r>
        <w:rPr>
          <w:rFonts w:ascii="Consolas" w:hAnsi="Consolas"/>
          <w:sz w:val="18"/>
        </w:rPr>
        <w:t>python "Foreground Masking\batch_spike_gate_SEP.py"</w:t>
      </w:r>
    </w:p>
    <w:p>
      <w:pPr>
        <w:pStyle w:val="Heading1"/>
      </w:pPr>
      <w:r>
        <w:t>Parameter hand-off</w:t>
      </w:r>
    </w:p>
    <w:p>
      <w:r>
        <w:t>Every optimiser writes its best parameter dictionary to a method-specific JSON file in its timestamped output directory. The matching canonical interactive and batch launchers automatically locate and load the newest JSON for the detected device. Pass --best-json (or --params-json where supported) to override it.</w:t>
      </w:r>
    </w:p>
    <w:p>
      <w:pPr>
        <w:pStyle w:val="Heading1"/>
      </w:pPr>
      <w:r>
        <w:t>Parameter optimisation process</w:t>
      </w:r>
    </w:p>
    <w:p>
      <w:r>
        <w:t>A trial is one candidate parameter combination evaluated by Optuna; it is not one galaxy. By default, each optimiser run reproducibly selects 20 galaxies from the usable manifest rows using its --seed value. Every trial in that run is evaluated against the same selected set of 20 galaxies. This allows candidate parameter sets to be compared on identical data within a run.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Engine</w:t>
            </w:r>
          </w:p>
        </w:tc>
        <w:tc>
          <w:tcPr>
            <w:tcW w:type="dxa" w:w="1680"/>
          </w:tcPr>
          <w:p>
            <w:r>
              <w:rPr>
                <w:b/>
              </w:rPr>
              <w:t>Mask method</w:t>
            </w:r>
          </w:p>
        </w:tc>
        <w:tc>
          <w:tcPr>
            <w:tcW w:type="dxa" w:w="1680"/>
          </w:tcPr>
          <w:p>
            <w:r>
              <w:rPr>
                <w:b/>
              </w:rPr>
              <w:t>Optimiser</w:t>
            </w:r>
          </w:p>
        </w:tc>
        <w:tc>
          <w:tcPr>
            <w:tcW w:type="dxa" w:w="1680"/>
          </w:tcPr>
          <w:p>
            <w:r>
              <w:rPr>
                <w:b/>
              </w:rPr>
              <w:t>Initial trials</w:t>
            </w:r>
          </w:p>
        </w:tc>
        <w:tc>
          <w:tcPr>
            <w:tcW w:type="dxa" w:w="1680"/>
          </w:tcPr>
          <w:p>
            <w:r>
              <w:rPr>
                <w:b/>
              </w:rPr>
              <w:t>Further trials</w:t>
            </w:r>
          </w:p>
        </w:tc>
        <w:tc>
          <w:tcPr>
            <w:tcW w:type="dxa" w:w="1680"/>
          </w:tcPr>
          <w:p>
            <w:r>
              <w:rPr>
                <w:b/>
              </w:rPr>
              <w:t>Total trials</w:t>
            </w:r>
          </w:p>
        </w:tc>
      </w:tr>
      <w:tr>
        <w:tc>
          <w:tcPr>
            <w:tcW w:type="dxa" w:w="1680"/>
          </w:tcPr>
          <w:p>
            <w:r>
              <w:t>SEP</w:t>
            </w:r>
          </w:p>
        </w:tc>
        <w:tc>
          <w:tcPr>
            <w:tcW w:type="dxa" w:w="1680"/>
          </w:tcPr>
          <w:p>
            <w:r>
              <w:t>Spike Gate</w:t>
            </w:r>
          </w:p>
        </w:tc>
        <w:tc>
          <w:tcPr>
            <w:tcW w:type="dxa" w:w="1680"/>
          </w:tcPr>
          <w:p>
            <w:r>
              <w:t>optimise_spike_gate_SEP.py</w:t>
            </w:r>
          </w:p>
        </w:tc>
        <w:tc>
          <w:tcPr>
            <w:tcW w:type="dxa" w:w="1680"/>
          </w:tcPr>
          <w:p>
            <w:r>
              <w:t>16</w:t>
            </w:r>
          </w:p>
        </w:tc>
        <w:tc>
          <w:tcPr>
            <w:tcW w:type="dxa" w:w="1680"/>
          </w:tcPr>
          <w:p>
            <w:r>
              <w:t>64</w:t>
            </w:r>
          </w:p>
        </w:tc>
        <w:tc>
          <w:tcPr>
            <w:tcW w:type="dxa" w:w="1680"/>
          </w:tcPr>
          <w:p>
            <w:r>
              <w:t>80</w:t>
            </w:r>
          </w:p>
        </w:tc>
      </w:tr>
      <w:tr>
        <w:tc>
          <w:tcPr>
            <w:tcW w:type="dxa" w:w="1680"/>
          </w:tcPr>
          <w:p>
            <w:r>
              <w:t>MTObjects</w:t>
            </w:r>
          </w:p>
        </w:tc>
        <w:tc>
          <w:tcPr>
            <w:tcW w:type="dxa" w:w="1680"/>
          </w:tcPr>
          <w:p>
            <w:r>
              <w:t>Spike Gate</w:t>
            </w:r>
          </w:p>
        </w:tc>
        <w:tc>
          <w:tcPr>
            <w:tcW w:type="dxa" w:w="1680"/>
          </w:tcPr>
          <w:p>
            <w:r>
              <w:t>optimise_spike_gate_MTObjects.py</w:t>
            </w:r>
          </w:p>
        </w:tc>
        <w:tc>
          <w:tcPr>
            <w:tcW w:type="dxa" w:w="1680"/>
          </w:tcPr>
          <w:p>
            <w:r>
              <w:t>12</w:t>
            </w:r>
          </w:p>
        </w:tc>
        <w:tc>
          <w:tcPr>
            <w:tcW w:type="dxa" w:w="1680"/>
          </w:tcPr>
          <w:p>
            <w:r>
              <w:t>48</w:t>
            </w:r>
          </w:p>
        </w:tc>
        <w:tc>
          <w:tcPr>
            <w:tcW w:type="dxa" w:w="1680"/>
          </w:tcPr>
          <w:p>
            <w:r>
              <w:t>60</w:t>
            </w:r>
          </w:p>
        </w:tc>
      </w:tr>
      <w:tr>
        <w:tc>
          <w:tcPr>
            <w:tcW w:type="dxa" w:w="1680"/>
          </w:tcPr>
          <w:p>
            <w:r>
              <w:t>SEP</w:t>
            </w:r>
          </w:p>
        </w:tc>
        <w:tc>
          <w:tcPr>
            <w:tcW w:type="dxa" w:w="1680"/>
          </w:tcPr>
          <w:p>
            <w:r>
              <w:t>Toy Objects</w:t>
            </w:r>
          </w:p>
        </w:tc>
        <w:tc>
          <w:tcPr>
            <w:tcW w:type="dxa" w:w="1680"/>
          </w:tcPr>
          <w:p>
            <w:r>
              <w:t>optimise_toy_objects_SEP.py</w:t>
            </w:r>
          </w:p>
        </w:tc>
        <w:tc>
          <w:tcPr>
            <w:tcW w:type="dxa" w:w="1680"/>
          </w:tcPr>
          <w:p>
            <w:r>
              <w:t>8</w:t>
            </w:r>
          </w:p>
        </w:tc>
        <w:tc>
          <w:tcPr>
            <w:tcW w:type="dxa" w:w="1680"/>
          </w:tcPr>
          <w:p>
            <w:r>
              <w:t>32</w:t>
            </w:r>
          </w:p>
        </w:tc>
        <w:tc>
          <w:tcPr>
            <w:tcW w:type="dxa" w:w="1680"/>
          </w:tcPr>
          <w:p>
            <w:r>
              <w:t>40</w:t>
            </w:r>
          </w:p>
        </w:tc>
      </w:tr>
      <w:tr>
        <w:tc>
          <w:tcPr>
            <w:tcW w:type="dxa" w:w="1680"/>
          </w:tcPr>
          <w:p>
            <w:r>
              <w:t>MTObjects</w:t>
            </w:r>
          </w:p>
        </w:tc>
        <w:tc>
          <w:tcPr>
            <w:tcW w:type="dxa" w:w="1680"/>
          </w:tcPr>
          <w:p>
            <w:r>
              <w:t>Toy Objects</w:t>
            </w:r>
          </w:p>
        </w:tc>
        <w:tc>
          <w:tcPr>
            <w:tcW w:type="dxa" w:w="1680"/>
          </w:tcPr>
          <w:p>
            <w:r>
              <w:t>optimise_toy_objects_MTObjects.py</w:t>
            </w:r>
          </w:p>
        </w:tc>
        <w:tc>
          <w:tcPr>
            <w:tcW w:type="dxa" w:w="1680"/>
          </w:tcPr>
          <w:p>
            <w:r>
              <w:t>8</w:t>
            </w:r>
          </w:p>
        </w:tc>
        <w:tc>
          <w:tcPr>
            <w:tcW w:type="dxa" w:w="1680"/>
          </w:tcPr>
          <w:p>
            <w:r>
              <w:t>32</w:t>
            </w:r>
          </w:p>
        </w:tc>
        <w:tc>
          <w:tcPr>
            <w:tcW w:type="dxa" w:w="1680"/>
          </w:tcPr>
          <w:p>
            <w:r>
              <w:t>40</w:t>
            </w:r>
          </w:p>
        </w:tc>
      </w:tr>
    </w:tbl>
    <w:p>
      <w:r>
        <w:t>The stability study repeats all four optimiser runs three times with three different reproducible seeds. Consequently, each optimiser is tested on three differently selected 20-galaxy samples. The three runs are compared to determine whether the selected best parameters and objective scores are stable across different galaxy samples. Changing the seed changes the selected sample; it does not change the number of Optuna trials.</w:t>
      </w:r>
    </w:p>
    <w:p>
      <w:r>
        <w:t>Per run, the SEP Spike Gate optimiser performs 80 trials (16 initial plus 64 further), the MTObjects Spike Gate optimiser performs 60 trials (12 plus 48), and each Toy Objects optimiser performs 40 trials (8 plus 32). With 20 galaxies, these correspond to 1,600, 1,200, 800, and 800 per-galaxy trial evaluations respectively, subject to any failed or skipped galaxy evaluations. Command-line overrides for --initial-points, --max-iter, --max-images, or --names alter these defaults and should be recorded with the run results.</w:t>
      </w:r>
    </w:p>
    <w:p>
      <w:pPr>
        <w:pStyle w:val="Heading1"/>
      </w:pPr>
      <w:r>
        <w:t>Device detection</w:t>
      </w:r>
    </w:p>
    <w:p>
      <w:r>
        <w:t>The configured hostname selects the matching research tree; the drive containing the running code is used as a fallback. Set FOREGROUND_MASKING_PC to Laptop or Desktop, or pass --pc, when an explicit override is needed.</w:t>
      </w:r>
    </w:p>
    <w:p>
      <w:pPr>
        <w:pStyle w:val="Heading1"/>
      </w:pPr>
      <w:r>
        <w:t>Support-code folders</w:t>
      </w:r>
    </w:p>
    <w:p>
      <w:r>
        <w:t>Only the twelve canonical launchers are kept in the Foreground Masking root. Supporting programs are grouped under Batch tools, PhotUtils, Interactive tools, Shared, Utilities, and Automation. The canonical launchers add these folders to the Python search path automatically.</w:t>
      </w:r>
    </w:p>
    <w:p>
      <w:pPr>
        <w:pStyle w:val="Heading1"/>
      </w:pPr>
      <w:r>
        <w:t>Documentation Rule</w:t>
      </w:r>
    </w:p>
    <w:p>
      <w:r>
        <w:t>Maintained documentation deliverables in this folder are DOCX files only. Render folders, PDFs, and standalone PNG documentation intermediates are disposable QA artifacts and should not be retained.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