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FCB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b/>
          <w:color w:val="0B2545"/>
          <w:sz w:val="48"/>
        </w:rPr>
      </w:pPr>
      <w:r w:rsidRPr="00FB45EB">
        <w:rPr>
          <w:rFonts w:ascii="Calibri" w:hAnsi="Calibri" w:cs="Calibri"/>
          <w:b/>
          <w:color w:val="0B2545"/>
          <w:sz w:val="48"/>
        </w:rPr>
        <w:t>SPIKE GATE PHASE 2 METHODOLOGY</w:t>
      </w:r>
    </w:p>
    <w:p w14:paraId="045EC00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color w:val="555555"/>
          <w:sz w:val="26"/>
        </w:rPr>
      </w:pPr>
      <w:r w:rsidRPr="00FB45EB">
        <w:rPr>
          <w:rFonts w:ascii="Calibri" w:hAnsi="Calibri" w:cs="Calibri"/>
          <w:color w:val="555555"/>
          <w:sz w:val="26"/>
        </w:rPr>
        <w:t>Component-constrained optimisation of SEP and MTObjects on science images</w:t>
      </w:r>
    </w:p>
    <w:p w14:paraId="2F5D2EE9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Prepared: 20 August 2026</w:t>
      </w:r>
    </w:p>
    <w:p w14:paraId="5E7486F1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6F9B09B7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METHODOLOGICAL PRINCIPLE</w:t>
      </w:r>
    </w:p>
    <w:p w14:paraId="487D0D3C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Spike Gate supplies evidence from residual images; SEP and MTObjects segment only the original science images. Gate evidence selects credible connected components, but never becomes the science-image input.</w:t>
      </w:r>
    </w:p>
    <w:p w14:paraId="212AFED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04B44B6F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1. PURPOSE AND RATIONALE</w:t>
      </w:r>
    </w:p>
    <w:p w14:paraId="5D6CC270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Earlier objective-only agreement could reward a large mask simply because it overlapped a Spike Gate target. Phase 2 changes the gate from a score-only term into an explicit connected-component selector. Recovery credit is conditional on compact, gate-supported science-image segmentation.</w:t>
      </w:r>
    </w:p>
    <w:p w14:paraId="437BAFF8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44EC6E34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2. PROCESSING ARCHITECTURE</w:t>
      </w:r>
    </w:p>
    <w:p w14:paraId="528A83B4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1. Generate Spike Gate candidate evidence from the residual image.</w:t>
      </w:r>
    </w:p>
    <w:p w14:paraId="33A16537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2. Run SEP or MTObjects on the original science image within documentation-supported parameter ranges.</w:t>
      </w:r>
    </w:p>
    <w:p w14:paraId="1CBD322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3. Label connected components in native science-image coordinates.</w:t>
      </w:r>
    </w:p>
    <w:p w14:paraId="52874543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4. Project each native label map once into the common deprojected diagnostic view.</w:t>
      </w:r>
    </w:p>
    <w:p w14:paraId="7F905E4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5. Retain only components satisfying target intersection, support fraction and size constraints.</w:t>
      </w:r>
    </w:p>
    <w:p w14:paraId="66D4BCE8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6. Apply the accepted mask and replace masked profile samples with a log-linear bridge.</w:t>
      </w:r>
    </w:p>
    <w:p w14:paraId="226DD655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07075EA2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3. COMPONENT RETENTION RULES</w:t>
      </w:r>
    </w:p>
    <w:p w14:paraId="7C8A0EB5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Target intersection: the component must intersect the compact gate target.</w:t>
      </w:r>
    </w:p>
    <w:p w14:paraId="11314B2D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Support fraction: at least 20% of projected component pixels must fall inside permitted support.</w:t>
      </w:r>
    </w:p>
    <w:p w14:paraId="2BFE8CDF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Maximum extent: a component may occupy no more than 8% of the diagnostic view.</w:t>
      </w:r>
    </w:p>
    <w:p w14:paraId="0EA4F52C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Coordinate handling: native labels are projected once to avoid denominator drift.</w:t>
      </w:r>
    </w:p>
    <w:p w14:paraId="6026EDDE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6410EEBB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4. OPTIMISATION OBJECTIVE</w:t>
      </w:r>
    </w:p>
    <w:p w14:paraId="6899CB12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The scalar objective balances gate recovery, candidate detection, supported-mask precision, excess area, protected galaxy loss, native masked fraction, non-gate profile masking, bridge span and an explicit zero-detection penalty when credible candidates exist.</w:t>
      </w:r>
    </w:p>
    <w:p w14:paraId="614221B9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5216F248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5. AUDIT AND RELEASE GATE</w:t>
      </w:r>
    </w:p>
    <w:p w14:paraId="25D768F9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Fifteen gate-positive, high-risk galaxies formed a stress-test audit. Each algorithm used a short 24-trial search. MTO was permitted to proceed as a conservative diagnostic run; SEP was not.</w:t>
      </w:r>
    </w:p>
    <w:p w14:paraId="418DA0C7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35563292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6. IMPLEMENTATION</w:t>
      </w:r>
    </w:p>
    <w:p w14:paraId="6C9B4477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Objective: Foreground Masking/Shared/spike_gate_objective.py</w:t>
      </w:r>
    </w:p>
    <w:p w14:paraId="28C3DED6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Batch filter: Foreground Masking/Shared/spike_gate_component_filter.py</w:t>
      </w:r>
    </w:p>
    <w:p w14:paraId="3744D3DA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SEP optimiser: Foreground Masking/Optimisation/optimise_spike_gate_SEP.py</w:t>
      </w:r>
    </w:p>
    <w:p w14:paraId="5BA523C8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MTO optimiser: Foreground Masking/Optimisation/optimise_spike_gate_MTObjects.py</w:t>
      </w:r>
    </w:p>
    <w:p w14:paraId="5106428F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Audit evaluator: Foreground Masking/Optimisation/evaluate_constrained_spike_gate_batch.py</w:t>
      </w:r>
    </w:p>
    <w:p w14:paraId="08650D34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</w:p>
    <w:p w14:paraId="62E5CF29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7. INTERPRETATION LIMITS</w:t>
      </w:r>
    </w:p>
    <w:p w14:paraId="06403488" w14:textId="77777777" w:rsidR="00FB45EB" w:rsidRPr="00FB45EB" w:rsidRDefault="00FB45EB" w:rsidP="00FB45EB">
      <w:pPr>
        <w:spacing w:after="120" w:line="264" w:lineRule="auto"/>
        <w:rPr>
          <w:rFonts w:ascii="Calibri" w:hAnsi="Calibri" w:cs="Calibri"/>
          <w:sz w:val="22"/>
        </w:rPr>
      </w:pPr>
      <w:r w:rsidRPr="00FB45EB">
        <w:rPr>
          <w:rFonts w:ascii="Calibri" w:hAnsi="Calibri" w:cs="Calibri"/>
          <w:sz w:val="22"/>
        </w:rPr>
        <w:t>Low masked area demonstrates conservatism, not necessarily correct foreground recovery. Phase 2 is a profile-protection diagnostic and is not yet a complete foreground-object catalogue.</w:t>
      </w:r>
    </w:p>
    <w:p w14:paraId="369B1B62" w14:textId="07D15F43" w:rsidR="004F6704" w:rsidRPr="00FB45EB" w:rsidRDefault="004F6704" w:rsidP="00FB45EB">
      <w:pPr>
        <w:spacing w:after="120" w:line="264" w:lineRule="auto"/>
        <w:rPr>
          <w:rFonts w:ascii="Calibri" w:hAnsi="Calibri" w:cs="Calibri"/>
          <w:sz w:val="22"/>
        </w:rPr>
      </w:pPr>
    </w:p>
    <w:sectPr w:rsidR="004F6704" w:rsidRPr="00FB45EB" w:rsidSect="00FB4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EB"/>
    <w:rsid w:val="004F6704"/>
    <w:rsid w:val="00813914"/>
    <w:rsid w:val="00C65042"/>
    <w:rsid w:val="00FB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FFB9"/>
  <w15:chartTrackingRefBased/>
  <w15:docId w15:val="{6207E3F2-BBEF-4B05-BE47-6D28133E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Bowser (Student)</dc:creator>
  <cp:keywords/>
  <dc:description/>
  <cp:lastModifiedBy>Gordon Bowser (Student)</cp:lastModifiedBy>
  <cp:revision>1</cp:revision>
  <dcterms:created xsi:type="dcterms:W3CDTF">2026-08-20T14:56:00Z</dcterms:created>
  <dcterms:modified xsi:type="dcterms:W3CDTF">2026-08-20T14:56:00Z</dcterms:modified>
</cp:coreProperties>
</file>