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2B0F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b/>
          <w:color w:val="0B2545"/>
          <w:sz w:val="48"/>
        </w:rPr>
      </w:pPr>
      <w:r w:rsidRPr="00D50607">
        <w:rPr>
          <w:rFonts w:ascii="Calibri" w:hAnsi="Calibri" w:cs="Calibri"/>
          <w:b/>
          <w:color w:val="0B2545"/>
          <w:sz w:val="48"/>
        </w:rPr>
        <w:t>SPIKE GATE PHASE 2 IMPROVEMENT OPTIONS</w:t>
      </w:r>
    </w:p>
    <w:p w14:paraId="65354B79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color w:val="555555"/>
          <w:sz w:val="26"/>
        </w:rPr>
      </w:pPr>
      <w:r w:rsidRPr="00D50607">
        <w:rPr>
          <w:rFonts w:ascii="Calibri" w:hAnsi="Calibri" w:cs="Calibri"/>
          <w:color w:val="555555"/>
          <w:sz w:val="26"/>
        </w:rPr>
        <w:t>Prioritised route from conservative diagnostic to validated masking workflow</w:t>
      </w:r>
    </w:p>
    <w:p w14:paraId="55A5B618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Prepared: 20 August 2026</w:t>
      </w:r>
    </w:p>
    <w:p w14:paraId="455B8343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</w:p>
    <w:p w14:paraId="1A9F3BF2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RECOMMENDED DIRECTION</w:t>
      </w:r>
    </w:p>
    <w:p w14:paraId="385CCB31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Retain MTObjects Phase 2 as the diagnostic baseline. Improve gate credibility and candidate matching first, then add local recovery only for credible unmatched candidates. Do not broaden the global mask to recover misses.</w:t>
      </w:r>
    </w:p>
    <w:p w14:paraId="25343B04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</w:p>
    <w:p w14:paraId="34E99399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1. PRIORITISED IMPROVEMENTS</w:t>
      </w:r>
    </w:p>
    <w:p w14:paraId="11EB9B50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1. Gate credibility model: score amplitude, side-drop, width, residual compactness, multi-width persistence and 2-D residual agreement.</w:t>
      </w:r>
    </w:p>
    <w:p w14:paraId="47151240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2. Native-coordinate target and support: use one traceable coordinate system and conserved denominators.</w:t>
      </w:r>
    </w:p>
    <w:p w14:paraId="3C222398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3. Candidate-specific association: report matched, unmatched, split and merged candidates; optimise candidate-level recall and precision.</w:t>
      </w:r>
    </w:p>
    <w:p w14:paraId="47E7307E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4. Morphology protection: penalise annular coherence, azimuthal span, arm-like elongation and low-frequency galaxy overlap.</w:t>
      </w:r>
    </w:p>
    <w:p w14:paraId="3D1647E9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5. Two-stage local recovery: search a small native window for credible misses under tighter area and morphology caps.</w:t>
      </w:r>
    </w:p>
    <w:p w14:paraId="75F008E7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6. Manual labelled validation: label approximately 20-30 galaxies including NGC4020, NGC4532 and NGC5236.</w:t>
      </w:r>
    </w:p>
    <w:p w14:paraId="5452A375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7. Stratified cross-validation: balance image scale, inclination, morphology, gate count and foreground density.</w:t>
      </w:r>
    </w:p>
    <w:p w14:paraId="6E20AFA3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8. Runtime controls: cap raw components, enforce time and memory limits and checkpoint/resume.</w:t>
      </w:r>
    </w:p>
    <w:p w14:paraId="2C4D623F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</w:p>
    <w:p w14:paraId="492B8750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2. STAGED PROGRAMME</w:t>
      </w:r>
    </w:p>
    <w:p w14:paraId="7021FFFC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Stage A: build gate-credibility labels and candidate-level matching diagnostics.</w:t>
      </w:r>
    </w:p>
    <w:p w14:paraId="6B161EC5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Stage B: implement morphology protection and native-coordinate accounting.</w:t>
      </w:r>
    </w:p>
    <w:p w14:paraId="0E434095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Stage C: run stratified four-fold optimisation on the labelled subset.</w:t>
      </w:r>
    </w:p>
    <w:p w14:paraId="4544FC57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Stage D: add local recovery for credible unmatched gates and re-audit misses.</w:t>
      </w:r>
    </w:p>
    <w:p w14:paraId="1F9E4366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Stage E: approve a new 182-galaxy batch only if quantitative and visual criteria pass.</w:t>
      </w:r>
    </w:p>
    <w:p w14:paraId="4795013B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</w:p>
    <w:p w14:paraId="2B7BAD82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3. ACCEPTANCE CRITERIA</w:t>
      </w:r>
    </w:p>
    <w:p w14:paraId="46ADA5F4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Mean credible-candidate recovery at least 0.70.</w:t>
      </w:r>
    </w:p>
    <w:p w14:paraId="1E1E8D8C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Candidate detection at least 0.75.</w:t>
      </w:r>
    </w:p>
    <w:p w14:paraId="60087FD7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No unexplained zero detections for high-credibility candidates.</w:t>
      </w:r>
    </w:p>
    <w:p w14:paraId="1A84A292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Mean protected galaxy loss no more than 0.01.</w:t>
      </w:r>
    </w:p>
    <w:p w14:paraId="6C8FA619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Mean and maximum native masked fractions no more than 0.02 and 0.05.</w:t>
      </w:r>
    </w:p>
    <w:p w14:paraId="0D66434E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No confirmed coherent structure removal in the labelled audit.</w:t>
      </w:r>
    </w:p>
    <w:p w14:paraId="169D8B28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Stable behaviour across four stratified folds.</w:t>
      </w:r>
    </w:p>
    <w:p w14:paraId="7DAECA3B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</w:p>
    <w:p w14:paraId="1F7C929E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4. DECISION RULE</w:t>
      </w:r>
    </w:p>
    <w:p w14:paraId="6776D33C" w14:textId="77777777" w:rsidR="00D50607" w:rsidRPr="00D50607" w:rsidRDefault="00D50607" w:rsidP="00D50607">
      <w:pPr>
        <w:spacing w:after="120" w:line="264" w:lineRule="auto"/>
        <w:rPr>
          <w:rFonts w:ascii="Calibri" w:hAnsi="Calibri" w:cs="Calibri"/>
          <w:sz w:val="22"/>
        </w:rPr>
      </w:pPr>
      <w:r w:rsidRPr="00D50607">
        <w:rPr>
          <w:rFonts w:ascii="Calibri" w:hAnsi="Calibri" w:cs="Calibri"/>
          <w:sz w:val="22"/>
        </w:rPr>
        <w:t>Advance to production-style use only when candidate recovery improves without exceeding morphology-protection and area limits. If local recovery increases galaxy loss, retain the conservative baseline and route uncertain cases to manual review.</w:t>
      </w:r>
    </w:p>
    <w:p w14:paraId="59A72CE5" w14:textId="7D37F9CB" w:rsidR="004F6704" w:rsidRPr="00D50607" w:rsidRDefault="004F6704" w:rsidP="00D50607">
      <w:pPr>
        <w:spacing w:after="120" w:line="264" w:lineRule="auto"/>
        <w:rPr>
          <w:rFonts w:ascii="Calibri" w:hAnsi="Calibri" w:cs="Calibri"/>
          <w:sz w:val="22"/>
        </w:rPr>
      </w:pPr>
    </w:p>
    <w:sectPr w:rsidR="004F6704" w:rsidRPr="00D50607" w:rsidSect="00D50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07"/>
    <w:rsid w:val="004F6704"/>
    <w:rsid w:val="00813914"/>
    <w:rsid w:val="00D50607"/>
    <w:rsid w:val="00D6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7A39"/>
  <w15:chartTrackingRefBased/>
  <w15:docId w15:val="{7D20319A-F752-487F-8EEA-05D6DCA07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Bowser (Student)</dc:creator>
  <cp:keywords/>
  <dc:description/>
  <cp:lastModifiedBy>Gordon Bowser (Student)</cp:lastModifiedBy>
  <cp:revision>1</cp:revision>
  <dcterms:created xsi:type="dcterms:W3CDTF">2026-08-20T14:56:00Z</dcterms:created>
  <dcterms:modified xsi:type="dcterms:W3CDTF">2026-08-20T14:56:00Z</dcterms:modified>
</cp:coreProperties>
</file>