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3224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b/>
          <w:color w:val="0B2545"/>
          <w:sz w:val="48"/>
        </w:rPr>
      </w:pPr>
      <w:r w:rsidRPr="00F63900">
        <w:rPr>
          <w:rFonts w:ascii="Calibri" w:hAnsi="Calibri" w:cs="Calibri"/>
          <w:b/>
          <w:color w:val="0B2545"/>
          <w:sz w:val="48"/>
        </w:rPr>
        <w:t>SPIKE GATE PHASE 2 RESULTS</w:t>
      </w:r>
    </w:p>
    <w:p w14:paraId="425AB4FF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color w:val="555555"/>
          <w:sz w:val="26"/>
        </w:rPr>
      </w:pPr>
      <w:r w:rsidRPr="00F63900">
        <w:rPr>
          <w:rFonts w:ascii="Calibri" w:hAnsi="Calibri" w:cs="Calibri"/>
          <w:color w:val="555555"/>
          <w:sz w:val="26"/>
        </w:rPr>
        <w:t>Audit comparison and 182-galaxy MTObjects diagnostic batch</w:t>
      </w:r>
    </w:p>
    <w:p w14:paraId="6C4CC7D2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Prepared: 20 August 2026</w:t>
      </w:r>
    </w:p>
    <w:p w14:paraId="3F6B02A6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</w:p>
    <w:p w14:paraId="59ADEEF3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EXECUTIVE CONCLUSION</w:t>
      </w:r>
    </w:p>
    <w:p w14:paraId="2974FF6D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Phase 2 removed the galaxy-scale overmasking failure mode. MTObjects is the stronger diagnostic candidate; SEP failed the stress-test audit and should not enter a production-style batch in its present configuration.</w:t>
      </w:r>
    </w:p>
    <w:p w14:paraId="746B5B7A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</w:p>
    <w:p w14:paraId="298F1291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1. STRESS-TEST AUDIT</w:t>
      </w:r>
    </w:p>
    <w:p w14:paraId="439EFED7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SEP: objective 153.6543 (infeasible); mean gate recovery 11.1%; candidate detection 11.7%; zero detections 11/15; mean masked area 0.00258%. Decision: do not proceed.</w:t>
      </w:r>
    </w:p>
    <w:p w14:paraId="24FEE145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</w:p>
    <w:p w14:paraId="7A14992B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MTObjects: objective 57.8821 (narrowly infeasible); mean gate recovery 49.3%; candidate detection 63.3%; supported precision 58.1%; zero detections 2/15; mean masked area 0.00500%. Decision: proceed diagnostically.</w:t>
      </w:r>
    </w:p>
    <w:p w14:paraId="071E6144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</w:p>
    <w:p w14:paraId="3056346E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The two MTO zero-detection cases were NGC4020 and NGC4532.</w:t>
      </w:r>
    </w:p>
    <w:p w14:paraId="309BC0A4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</w:p>
    <w:p w14:paraId="6BD93FF5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2. NGC3627</w:t>
      </w:r>
    </w:p>
    <w:p w14:paraId="28AB8C81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SEP produced zero retained components and zero recovery. MTO produced three gate-supported components, recovery 1.0 and candidate detection 1.0. MTO masked 0.0146% while preserving spiral structure and isophotal alignment.</w:t>
      </w:r>
    </w:p>
    <w:p w14:paraId="4083A912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</w:p>
    <w:p w14:paraId="2FB6B309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3. 182-GALAXY MTO DIAGNOSTIC BATCH</w:t>
      </w:r>
    </w:p>
    <w:p w14:paraId="6BF2C90E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Successful: 182/182; failed: 0.</w:t>
      </w:r>
    </w:p>
    <w:p w14:paraId="21972DEE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Gate-positive: 127. Gate-negative: 55; all left unmasked.</w:t>
      </w:r>
    </w:p>
    <w:p w14:paraId="39703BDE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Accepted non-zero mask: 97/127 gate-positive galaxies (76.4%).</w:t>
      </w:r>
    </w:p>
    <w:p w14:paraId="6604BAFF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No accepted component: 30/127 gate-positive galaxies (23.6%).</w:t>
      </w:r>
    </w:p>
    <w:p w14:paraId="73BCB2CF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Overall: 97 non-zero masks and 85 zero masks.</w:t>
      </w:r>
    </w:p>
    <w:p w14:paraId="7E899E40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</w:p>
    <w:p w14:paraId="1FD81AB0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4. MASKED-AREA DISTRIBUTION</w:t>
      </w:r>
    </w:p>
    <w:p w14:paraId="3B9C7B87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Mean 0.002778%; median 0.000685%; P75 0.003443%; P90 0.010300%; P95 0.013278%; P99 0.016678%; maximum 0.021179% (NGC6412).</w:t>
      </w:r>
    </w:p>
    <w:p w14:paraId="7A1B5828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</w:p>
    <w:p w14:paraId="7958E5DF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5. HIGH-MASK REVIEW</w:t>
      </w:r>
    </w:p>
    <w:p w14:paraId="30568215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NGC6412 (0.02118%): two compact off-centre masks; galaxy preserved.</w:t>
      </w:r>
    </w:p>
    <w:p w14:paraId="208EB82E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NGC1672 (0.01946%): four narrow profile-associated masks; stable isophotes.</w:t>
      </w:r>
    </w:p>
    <w:p w14:paraId="1329A1C4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NGC3627 (0.01458%): major improvement over the earlier aggressive SEP result.</w:t>
      </w:r>
    </w:p>
    <w:p w14:paraId="4759DF43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NGC5236 (0.01428%): 25 accepted from 11,537 raw segments; manual/performance flag.</w:t>
      </w:r>
    </w:p>
    <w:p w14:paraId="17BD6967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</w:p>
    <w:p w14:paraId="766A42ED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6. SCIENTIFIC INTERPRETATION</w:t>
      </w:r>
    </w:p>
    <w:p w14:paraId="65875208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Phase 2 sharply reduces damage to coherent galaxy morphology. MTO is presently the stronger Spike Gate profile-protection candidate. Thirty gate-positive galaxies received no accepted mask, so recall remains incomplete. SEP remains excluded until it reliably yields compact gate-associated components. This remains a conservative diagnostic, not a complete foreground catalogue.</w:t>
      </w:r>
    </w:p>
    <w:p w14:paraId="530BA117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</w:p>
    <w:p w14:paraId="23A7557D" w14:textId="77777777" w:rsidR="00F63900" w:rsidRPr="00F63900" w:rsidRDefault="00F63900" w:rsidP="00F63900">
      <w:pPr>
        <w:spacing w:after="120" w:line="264" w:lineRule="auto"/>
        <w:rPr>
          <w:rFonts w:ascii="Calibri" w:hAnsi="Calibri" w:cs="Calibri"/>
          <w:sz w:val="22"/>
        </w:rPr>
      </w:pPr>
      <w:r w:rsidRPr="00F63900">
        <w:rPr>
          <w:rFonts w:ascii="Calibri" w:hAnsi="Calibri" w:cs="Calibri"/>
          <w:sz w:val="22"/>
        </w:rPr>
        <w:t>Output: D:\Dropbox\Public Documents\UCLAN\MSc Research\Remove foreground objects\MTO\Spike Gate\20260819_202509</w:t>
      </w:r>
    </w:p>
    <w:p w14:paraId="649329A5" w14:textId="467F7B3B" w:rsidR="004F6704" w:rsidRPr="00F63900" w:rsidRDefault="004F6704" w:rsidP="00F63900">
      <w:pPr>
        <w:spacing w:after="120" w:line="264" w:lineRule="auto"/>
        <w:rPr>
          <w:rFonts w:ascii="Calibri" w:hAnsi="Calibri" w:cs="Calibri"/>
          <w:sz w:val="22"/>
        </w:rPr>
      </w:pPr>
    </w:p>
    <w:sectPr w:rsidR="004F6704" w:rsidRPr="00F63900" w:rsidSect="00F63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00"/>
    <w:rsid w:val="004F6704"/>
    <w:rsid w:val="00813914"/>
    <w:rsid w:val="00B427CE"/>
    <w:rsid w:val="00F6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5CED"/>
  <w15:chartTrackingRefBased/>
  <w15:docId w15:val="{1F815E0B-782B-4713-B1FF-47074FC5B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Bowser (Student)</dc:creator>
  <cp:keywords/>
  <dc:description/>
  <cp:lastModifiedBy>Gordon Bowser (Student)</cp:lastModifiedBy>
  <cp:revision>1</cp:revision>
  <dcterms:created xsi:type="dcterms:W3CDTF">2026-08-20T14:56:00Z</dcterms:created>
  <dcterms:modified xsi:type="dcterms:W3CDTF">2026-08-20T14:56:00Z</dcterms:modified>
</cp:coreProperties>
</file>