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OPTIMISATION RESULTS</w:t>
      </w:r>
    </w:p>
    <w:p>
      <w:pPr>
        <w:spacing w:after="100"/>
      </w:pPr>
      <w:r>
        <w:rPr>
          <w:rFonts w:ascii="Calibri" w:hAnsi="Calibri"/>
          <w:b/>
          <w:color w:val="000000"/>
          <w:sz w:val="48"/>
        </w:rPr>
        <w:t>SEP and MTObjects Toy Objects</w:t>
      </w:r>
    </w:p>
    <w:p>
      <w:pPr>
        <w:spacing w:after="280"/>
      </w:pPr>
      <w:r>
        <w:rPr>
          <w:rFonts w:ascii="Calibri" w:hAnsi="Calibri"/>
          <w:b w:val="0"/>
          <w:color w:val="666666"/>
          <w:sz w:val="26"/>
        </w:rPr>
        <w:t>Four-fold cross-validation, final parameter selection, comparative interpretation and conclusions</w:t>
      </w:r>
    </w:p>
    <w:p>
      <w:pPr>
        <w:spacing w:after="40"/>
      </w:pPr>
      <w:r>
        <w:rPr>
          <w:rFonts w:ascii="Calibri" w:hAnsi="Calibri"/>
          <w:b/>
          <w:color w:val="000000"/>
          <w:sz w:val="21"/>
        </w:rPr>
        <w:t xml:space="preserve">Calibration sample: </w:t>
      </w:r>
      <w:r>
        <w:rPr>
          <w:rFonts w:ascii="Calibri" w:hAnsi="Calibri"/>
          <w:color w:val="000000"/>
          <w:sz w:val="21"/>
        </w:rPr>
        <w:t>40 low-foreground galaxies; four folds of 30 training and 10 held out</w:t>
      </w:r>
    </w:p>
    <w:p>
      <w:pPr>
        <w:spacing w:after="40"/>
      </w:pPr>
      <w:r>
        <w:rPr>
          <w:rFonts w:ascii="Calibri" w:hAnsi="Calibri"/>
          <w:b/>
          <w:color w:val="000000"/>
          <w:sz w:val="21"/>
        </w:rPr>
        <w:t xml:space="preserve">Optimisation: </w:t>
      </w:r>
      <w:r>
        <w:rPr>
          <w:rFonts w:ascii="Calibri" w:hAnsi="Calibri"/>
          <w:color w:val="000000"/>
          <w:sz w:val="21"/>
        </w:rPr>
        <w:t>40 trials per fold: 8 startup trials followed by 32 TPE-guided trials</w:t>
      </w:r>
    </w:p>
    <w:p>
      <w:pPr>
        <w:spacing w:after="40"/>
      </w:pPr>
      <w:r>
        <w:rPr>
          <w:rFonts w:ascii="Calibri" w:hAnsi="Calibri"/>
          <w:b/>
          <w:color w:val="000000"/>
          <w:sz w:val="21"/>
        </w:rPr>
        <w:t xml:space="preserve">Application target: </w:t>
      </w:r>
      <w:r>
        <w:rPr>
          <w:rFonts w:ascii="Calibri" w:hAnsi="Calibri"/>
          <w:color w:val="000000"/>
          <w:sz w:val="21"/>
        </w:rPr>
        <w:t>182-galaxy sample with six injected toy objects per galaxy</w:t>
      </w:r>
    </w:p>
    <w:p>
      <w:pPr>
        <w:spacing w:after="40"/>
      </w:pPr>
      <w:r>
        <w:rPr>
          <w:rFonts w:ascii="Calibri" w:hAnsi="Calibri"/>
          <w:b/>
          <w:color w:val="000000"/>
          <w:sz w:val="21"/>
        </w:rPr>
        <w:t xml:space="preserve">Report date: </w:t>
      </w:r>
      <w:r>
        <w:rPr>
          <w:rFonts w:ascii="Calibri" w:hAnsi="Calibri"/>
          <w:color w:val="000000"/>
          <w:sz w:val="21"/>
        </w:rPr>
        <w:t>16 August 2026</w:t>
      </w:r>
    </w:p>
    <w:p>
      <w:pPr>
        <w:pStyle w:val="Heading1"/>
      </w:pPr>
      <w:r>
        <w:t>Executive summary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Overall conclusion</w:t>
            </w:r>
          </w:p>
          <w:p>
            <w:pPr>
              <w:spacing w:after="0"/>
            </w:pPr>
            <w:r>
              <w:rPr>
                <w:rFonts w:ascii="Calibri" w:hAnsi="Calibri"/>
                <w:color w:val="000000"/>
                <w:sz w:val="21"/>
              </w:rPr>
              <w:t>SEP is the preferred primary method for the present Toy Objects workflow. Its cross-validated score was materially higher and its toy recovery was stronger. The revised MTObjects optimisation is nevertheless a genuine recovery from the earlier zero-mask failure: it now detects and removes toy objects, but does so with much lower pixel precision and substantial collateral masking. MTObjects should therefore remain a secondary, review-controlled method until its false-positive behaviour is reduced.</w:t>
            </w:r>
          </w:p>
        </w:tc>
      </w:tr>
    </w:tbl>
    <w:p>
      <w:pPr>
        <w:spacing w:after="0"/>
      </w:pPr>
    </w:p>
    <w:p>
      <w:pPr>
        <w:pStyle w:val="ListBullet"/>
      </w:pPr>
      <w:r>
        <w:t>SEP winner: fold 4; common-40 score 0.5416. Mean held-out score across four folds was 0.5026 (standard deviation 0.0880).</w:t>
      </w:r>
    </w:p>
    <w:p>
      <w:pPr>
        <w:pStyle w:val="ListBullet"/>
      </w:pPr>
      <w:r>
        <w:t>MTObjects recovery winner: fold 3; common-40 score 0.2325, mean toy recall 50.7%, toy detection rate 53.3%, and mean masked fraction 9.07%.</w:t>
      </w:r>
    </w:p>
    <w:p>
      <w:pPr>
        <w:pStyle w:val="ListBullet"/>
      </w:pPr>
      <w:r>
        <w:t>Only the MTObjects fold-3 candidate met every cross-fold feasibility gate. This supports its selection, but also shows that MTObjects parameter performance is less robust across folds than SEP.</w:t>
      </w:r>
    </w:p>
    <w:p>
      <w:pPr>
        <w:pStyle w:val="ListBullet"/>
      </w:pPr>
      <w:r>
        <w:t>The very low MTObjects pixel precision (0.31%) is not a contradiction of toy detection: toy pixels occupy a very small part of each image, while the selected mask covers many non-toy pixels. The method recovers toys but with high collateral masking.</w:t>
      </w:r>
    </w:p>
    <w:p>
      <w:pPr>
        <w:pStyle w:val="Heading1"/>
      </w:pPr>
      <w:r>
        <w:t>1. Experimental design</w:t>
      </w:r>
    </w:p>
    <w:p>
      <w:r>
        <w:t>The same set of 40 galaxies with few foreground objects was used for both methods. In each of four rotations, 30 galaxies were used for parameter optimisation and the remaining 10 were held out for validation. Each fold used 40 Optuna trials: eight startup trials for broad exploration and 32 trials guided by the Tree-structured Parzen Estimator. Final fold candidates were also evaluated on a common 40-galaxy injection set to support a like-for-like selection.</w:t>
      </w:r>
    </w:p>
    <w:p>
      <w:r>
        <w:t>The objective rewards recovery of injected toy objects while penalising false-positive masking, loss of usable galaxy data and excessive total mask coverage. A hard maximum masked-fraction limit of 15% was applied in the MTObjects recovery follow-up. The revised MTObjects objective also explicitly makes non-detection infeasible, preventing the optimiser from preferring an empty mask merely because it avoids false-positive costs.</w:t>
      </w:r>
    </w:p>
    <w:p>
      <w:pPr>
        <w:pStyle w:val="Heading1"/>
      </w:pPr>
      <w:r>
        <w:t>2. SEP optimisation results</w:t>
      </w:r>
    </w:p>
    <w:tbl>
      <w:tblPr>
        <w:tblStyle w:val="TableGrid"/>
        <w:tblW w:type="dxa" w:w="9360"/>
        <w:jc w:val="left"/>
        <w:tblLayout w:type="fixed"/>
        <w:tblLook w:firstColumn="1" w:firstRow="1" w:lastColumn="0" w:lastRow="0" w:noHBand="0" w:noVBand="1" w:val="04A0"/>
        <w:tblInd w:w="120" w:type="dxa"/>
      </w:tblPr>
      <w:tblGrid>
        <w:gridCol w:w="1200"/>
        <w:gridCol w:w="2400"/>
        <w:gridCol w:w="2600"/>
        <w:gridCol w:w="3160"/>
      </w:tblGrid>
      <w:tr>
        <w:trPr>
          <w:tblHeader w:val="true"/>
        </w:trPr>
        <w:tc>
          <w:tcPr>
            <w:tcW w:type="dxa" w:w="1200"/>
            <w:shd w:fill="F2F4F7"/>
            <w:tcMar>
              <w:top w:w="80" w:type="dxa"/>
              <w:start w:w="120" w:type="dxa"/>
              <w:bottom w:w="80" w:type="dxa"/>
              <w:end w:w="120" w:type="dxa"/>
            </w:tcMar>
            <w:vAlign w:val="center"/>
          </w:tcPr>
          <w:p>
            <w:pPr>
              <w:spacing w:after="0"/>
            </w:pPr>
            <w:r>
              <w:rPr>
                <w:rFonts w:ascii="Calibri" w:hAnsi="Calibri"/>
                <w:b/>
                <w:color w:val="000000"/>
                <w:sz w:val="18"/>
              </w:rPr>
              <w:t>Fold</w:t>
            </w:r>
          </w:p>
        </w:tc>
        <w:tc>
          <w:tcPr>
            <w:tcW w:type="dxa" w:w="2400"/>
            <w:shd w:fill="F2F4F7"/>
            <w:tcMar>
              <w:top w:w="80" w:type="dxa"/>
              <w:start w:w="120" w:type="dxa"/>
              <w:bottom w:w="80" w:type="dxa"/>
              <w:end w:w="120" w:type="dxa"/>
            </w:tcMar>
            <w:vAlign w:val="center"/>
          </w:tcPr>
          <w:p>
            <w:pPr>
              <w:spacing w:after="0"/>
            </w:pPr>
            <w:r>
              <w:rPr>
                <w:rFonts w:ascii="Calibri" w:hAnsi="Calibri"/>
                <w:b/>
                <w:color w:val="000000"/>
                <w:sz w:val="18"/>
              </w:rPr>
              <w:t>Held-out score</w:t>
            </w:r>
          </w:p>
        </w:tc>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Common-40 score</w:t>
            </w:r>
          </w:p>
        </w:tc>
        <w:tc>
          <w:tcPr>
            <w:tcW w:type="dxa" w:w="3160"/>
            <w:shd w:fill="F2F4F7"/>
            <w:tcMar>
              <w:top w:w="80" w:type="dxa"/>
              <w:start w:w="120" w:type="dxa"/>
              <w:bottom w:w="80" w:type="dxa"/>
              <w:end w:w="120" w:type="dxa"/>
            </w:tcMar>
            <w:vAlign w:val="center"/>
          </w:tcPr>
          <w:p>
            <w:pPr>
              <w:spacing w:after="0"/>
            </w:pPr>
            <w:r>
              <w:rPr>
                <w:rFonts w:ascii="Calibri" w:hAnsi="Calibri"/>
                <w:b/>
                <w:color w:val="000000"/>
                <w:sz w:val="18"/>
              </w:rPr>
              <w:t>Maximum masked</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1</w:t>
            </w:r>
          </w:p>
        </w:tc>
        <w:tc>
          <w:tcPr>
            <w:tcW w:type="dxa" w:w="2400"/>
            <w:tcMar>
              <w:top w:w="80" w:type="dxa"/>
              <w:start w:w="120" w:type="dxa"/>
              <w:bottom w:w="80" w:type="dxa"/>
              <w:end w:w="120" w:type="dxa"/>
            </w:tcMar>
            <w:vAlign w:val="center"/>
          </w:tcPr>
          <w:p>
            <w:pPr>
              <w:spacing w:after="0"/>
            </w:pPr>
            <w:r>
              <w:rPr>
                <w:rFonts w:ascii="Calibri" w:hAnsi="Calibri"/>
                <w:color w:val="000000"/>
                <w:sz w:val="18"/>
              </w:rPr>
              <w:t>0.5177</w:t>
            </w:r>
          </w:p>
        </w:tc>
        <w:tc>
          <w:tcPr>
            <w:tcW w:type="dxa" w:w="2600"/>
            <w:tcMar>
              <w:top w:w="80" w:type="dxa"/>
              <w:start w:w="120" w:type="dxa"/>
              <w:bottom w:w="80" w:type="dxa"/>
              <w:end w:w="120" w:type="dxa"/>
            </w:tcMar>
            <w:vAlign w:val="center"/>
          </w:tcPr>
          <w:p>
            <w:pPr>
              <w:spacing w:after="0"/>
            </w:pPr>
            <w:r>
              <w:rPr>
                <w:rFonts w:ascii="Calibri" w:hAnsi="Calibri"/>
                <w:color w:val="000000"/>
                <w:sz w:val="18"/>
              </w:rPr>
              <w:t>0.4991</w:t>
            </w:r>
          </w:p>
        </w:tc>
        <w:tc>
          <w:tcPr>
            <w:tcW w:type="dxa" w:w="3160"/>
            <w:tcMar>
              <w:top w:w="80" w:type="dxa"/>
              <w:start w:w="120" w:type="dxa"/>
              <w:bottom w:w="80" w:type="dxa"/>
              <w:end w:w="120" w:type="dxa"/>
            </w:tcMar>
            <w:vAlign w:val="center"/>
          </w:tcPr>
          <w:p>
            <w:pPr>
              <w:spacing w:after="0"/>
            </w:pPr>
            <w:r>
              <w:rPr>
                <w:rFonts w:ascii="Calibri" w:hAnsi="Calibri"/>
                <w:color w:val="000000"/>
                <w:sz w:val="18"/>
              </w:rPr>
              <w:t>13.6%</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2</w:t>
            </w:r>
          </w:p>
        </w:tc>
        <w:tc>
          <w:tcPr>
            <w:tcW w:type="dxa" w:w="2400"/>
            <w:tcMar>
              <w:top w:w="80" w:type="dxa"/>
              <w:start w:w="120" w:type="dxa"/>
              <w:bottom w:w="80" w:type="dxa"/>
              <w:end w:w="120" w:type="dxa"/>
            </w:tcMar>
            <w:vAlign w:val="center"/>
          </w:tcPr>
          <w:p>
            <w:pPr>
              <w:spacing w:after="0"/>
            </w:pPr>
            <w:r>
              <w:rPr>
                <w:rFonts w:ascii="Calibri" w:hAnsi="Calibri"/>
                <w:color w:val="000000"/>
                <w:sz w:val="18"/>
              </w:rPr>
              <w:t>0.5809</w:t>
            </w:r>
          </w:p>
        </w:tc>
        <w:tc>
          <w:tcPr>
            <w:tcW w:type="dxa" w:w="2600"/>
            <w:tcMar>
              <w:top w:w="80" w:type="dxa"/>
              <w:start w:w="120" w:type="dxa"/>
              <w:bottom w:w="80" w:type="dxa"/>
              <w:end w:w="120" w:type="dxa"/>
            </w:tcMar>
            <w:vAlign w:val="center"/>
          </w:tcPr>
          <w:p>
            <w:pPr>
              <w:spacing w:after="0"/>
            </w:pPr>
            <w:r>
              <w:rPr>
                <w:rFonts w:ascii="Calibri" w:hAnsi="Calibri"/>
                <w:color w:val="000000"/>
                <w:sz w:val="18"/>
              </w:rPr>
              <w:t>0.5289</w:t>
            </w:r>
          </w:p>
        </w:tc>
        <w:tc>
          <w:tcPr>
            <w:tcW w:type="dxa" w:w="3160"/>
            <w:tcMar>
              <w:top w:w="80" w:type="dxa"/>
              <w:start w:w="120" w:type="dxa"/>
              <w:bottom w:w="80" w:type="dxa"/>
              <w:end w:w="120" w:type="dxa"/>
            </w:tcMar>
            <w:vAlign w:val="center"/>
          </w:tcPr>
          <w:p>
            <w:pPr>
              <w:spacing w:after="0"/>
            </w:pPr>
            <w:r>
              <w:rPr>
                <w:rFonts w:ascii="Calibri" w:hAnsi="Calibri"/>
                <w:color w:val="000000"/>
                <w:sz w:val="18"/>
              </w:rPr>
              <w:t>14.0%</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3</w:t>
            </w:r>
          </w:p>
        </w:tc>
        <w:tc>
          <w:tcPr>
            <w:tcW w:type="dxa" w:w="2400"/>
            <w:tcMar>
              <w:top w:w="80" w:type="dxa"/>
              <w:start w:w="120" w:type="dxa"/>
              <w:bottom w:w="80" w:type="dxa"/>
              <w:end w:w="120" w:type="dxa"/>
            </w:tcMar>
            <w:vAlign w:val="center"/>
          </w:tcPr>
          <w:p>
            <w:pPr>
              <w:spacing w:after="0"/>
            </w:pPr>
            <w:r>
              <w:rPr>
                <w:rFonts w:ascii="Calibri" w:hAnsi="Calibri"/>
                <w:color w:val="000000"/>
                <w:sz w:val="18"/>
              </w:rPr>
              <w:t>0.3553</w:t>
            </w:r>
          </w:p>
        </w:tc>
        <w:tc>
          <w:tcPr>
            <w:tcW w:type="dxa" w:w="2600"/>
            <w:tcMar>
              <w:top w:w="80" w:type="dxa"/>
              <w:start w:w="120" w:type="dxa"/>
              <w:bottom w:w="80" w:type="dxa"/>
              <w:end w:w="120" w:type="dxa"/>
            </w:tcMar>
            <w:vAlign w:val="center"/>
          </w:tcPr>
          <w:p>
            <w:pPr>
              <w:spacing w:after="0"/>
            </w:pPr>
            <w:r>
              <w:rPr>
                <w:rFonts w:ascii="Calibri" w:hAnsi="Calibri"/>
                <w:color w:val="000000"/>
                <w:sz w:val="18"/>
              </w:rPr>
              <w:t>0.4862</w:t>
            </w:r>
          </w:p>
        </w:tc>
        <w:tc>
          <w:tcPr>
            <w:tcW w:type="dxa" w:w="3160"/>
            <w:tcMar>
              <w:top w:w="80" w:type="dxa"/>
              <w:start w:w="120" w:type="dxa"/>
              <w:bottom w:w="80" w:type="dxa"/>
              <w:end w:w="120" w:type="dxa"/>
            </w:tcMar>
            <w:vAlign w:val="center"/>
          </w:tcPr>
          <w:p>
            <w:pPr>
              <w:spacing w:after="0"/>
            </w:pPr>
            <w:r>
              <w:rPr>
                <w:rFonts w:ascii="Calibri" w:hAnsi="Calibri"/>
                <w:color w:val="000000"/>
                <w:sz w:val="18"/>
              </w:rPr>
              <w:t>12.3%</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4 (selected)</w:t>
            </w:r>
          </w:p>
        </w:tc>
        <w:tc>
          <w:tcPr>
            <w:tcW w:type="dxa" w:w="2400"/>
            <w:tcMar>
              <w:top w:w="80" w:type="dxa"/>
              <w:start w:w="120" w:type="dxa"/>
              <w:bottom w:w="80" w:type="dxa"/>
              <w:end w:w="120" w:type="dxa"/>
            </w:tcMar>
            <w:vAlign w:val="center"/>
          </w:tcPr>
          <w:p>
            <w:pPr>
              <w:spacing w:after="0"/>
            </w:pPr>
            <w:r>
              <w:rPr>
                <w:rFonts w:ascii="Calibri" w:hAnsi="Calibri"/>
                <w:color w:val="000000"/>
                <w:sz w:val="18"/>
              </w:rPr>
              <w:t>0.5566</w:t>
            </w:r>
          </w:p>
        </w:tc>
        <w:tc>
          <w:tcPr>
            <w:tcW w:type="dxa" w:w="2600"/>
            <w:tcMar>
              <w:top w:w="80" w:type="dxa"/>
              <w:start w:w="120" w:type="dxa"/>
              <w:bottom w:w="80" w:type="dxa"/>
              <w:end w:w="120" w:type="dxa"/>
            </w:tcMar>
            <w:vAlign w:val="center"/>
          </w:tcPr>
          <w:p>
            <w:pPr>
              <w:spacing w:after="0"/>
            </w:pPr>
            <w:r>
              <w:rPr>
                <w:rFonts w:ascii="Calibri" w:hAnsi="Calibri"/>
                <w:color w:val="000000"/>
                <w:sz w:val="18"/>
              </w:rPr>
              <w:t>0.5416</w:t>
            </w:r>
          </w:p>
        </w:tc>
        <w:tc>
          <w:tcPr>
            <w:tcW w:type="dxa" w:w="3160"/>
            <w:tcMar>
              <w:top w:w="80" w:type="dxa"/>
              <w:start w:w="120" w:type="dxa"/>
              <w:bottom w:w="80" w:type="dxa"/>
              <w:end w:w="120" w:type="dxa"/>
            </w:tcMar>
            <w:vAlign w:val="center"/>
          </w:tcPr>
          <w:p>
            <w:pPr>
              <w:spacing w:after="0"/>
            </w:pPr>
            <w:r>
              <w:rPr>
                <w:rFonts w:ascii="Calibri" w:hAnsi="Calibri"/>
                <w:color w:val="000000"/>
                <w:sz w:val="18"/>
              </w:rPr>
              <w:t>12.3%</w:t>
            </w:r>
          </w:p>
        </w:tc>
      </w:tr>
    </w:tbl>
    <w:p>
      <w:pPr>
        <w:spacing w:after="0"/>
      </w:pPr>
    </w:p>
    <w:p>
      <w:r>
        <w:t>The selected fold-4 candidate did not have the single highest held-out score, but it had the best common-40 score. This is the appropriate selection criterion because every candidate was compared against the same 40-galaxy evaluation set. Fold 3 was notably weaker on its held-out group, but the remaining three held-out scores were close, suggesting generally useful transfer with one more difficult partition.</w:t>
      </w:r>
    </w:p>
    <w:p>
      <w:pPr>
        <w:pStyle w:val="Heading2"/>
      </w:pPr>
      <w:r>
        <w:t>Selected SEP parameters</w:t>
      </w:r>
    </w:p>
    <w:tbl>
      <w:tblPr>
        <w:tblStyle w:val="TableGrid"/>
        <w:tblW w:type="dxa" w:w="9360"/>
        <w:jc w:val="left"/>
        <w:tblLayout w:type="fixed"/>
        <w:tblLook w:firstColumn="1" w:firstRow="1" w:lastColumn="0" w:lastRow="0" w:noHBand="0" w:noVBand="1" w:val="04A0"/>
        <w:tblInd w:w="120" w:type="dxa"/>
      </w:tblPr>
      <w:tblGrid>
        <w:gridCol w:w="1900"/>
        <w:gridCol w:w="2780"/>
        <w:gridCol w:w="1900"/>
        <w:gridCol w:w="278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Detection image</w:t>
            </w:r>
          </w:p>
        </w:tc>
        <w:tc>
          <w:tcPr>
            <w:tcW w:type="dxa" w:w="2780"/>
            <w:tcMar>
              <w:top w:w="80" w:type="dxa"/>
              <w:start w:w="120" w:type="dxa"/>
              <w:bottom w:w="80" w:type="dxa"/>
              <w:end w:w="120" w:type="dxa"/>
            </w:tcMar>
            <w:vAlign w:val="center"/>
          </w:tcPr>
          <w:p>
            <w:pPr>
              <w:spacing w:after="0"/>
            </w:pPr>
            <w:r>
              <w:rPr>
                <w:rFonts w:ascii="Calibri" w:hAnsi="Calibri"/>
                <w:color w:val="000000"/>
                <w:sz w:val="18"/>
              </w:rPr>
              <w:t>Residual</w:t>
            </w:r>
          </w:p>
        </w:tc>
        <w:tc>
          <w:tcPr>
            <w:tcW w:type="dxa" w:w="1900"/>
            <w:tcMar>
              <w:top w:w="80" w:type="dxa"/>
              <w:start w:w="120" w:type="dxa"/>
              <w:bottom w:w="80" w:type="dxa"/>
              <w:end w:w="120" w:type="dxa"/>
            </w:tcMar>
            <w:vAlign w:val="center"/>
          </w:tcPr>
          <w:p>
            <w:pPr>
              <w:spacing w:after="0"/>
            </w:pPr>
            <w:r>
              <w:rPr>
                <w:rFonts w:ascii="Calibri" w:hAnsi="Calibri"/>
                <w:color w:val="000000"/>
                <w:sz w:val="18"/>
              </w:rPr>
              <w:t>Detection threshold</w:t>
            </w:r>
          </w:p>
        </w:tc>
        <w:tc>
          <w:tcPr>
            <w:tcW w:type="dxa" w:w="2780"/>
            <w:tcMar>
              <w:top w:w="80" w:type="dxa"/>
              <w:start w:w="120" w:type="dxa"/>
              <w:bottom w:w="80" w:type="dxa"/>
              <w:end w:w="120" w:type="dxa"/>
            </w:tcMar>
            <w:vAlign w:val="center"/>
          </w:tcPr>
          <w:p>
            <w:pPr>
              <w:spacing w:after="0"/>
            </w:pPr>
            <w:r>
              <w:rPr>
                <w:rFonts w:ascii="Calibri" w:hAnsi="Calibri"/>
                <w:color w:val="000000"/>
                <w:sz w:val="18"/>
              </w:rPr>
              <w:t>1.8577</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Minimum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5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Deblend thresholds</w:t>
            </w:r>
          </w:p>
        </w:tc>
        <w:tc>
          <w:tcPr>
            <w:tcW w:type="dxa" w:w="2780"/>
            <w:tcMar>
              <w:top w:w="80" w:type="dxa"/>
              <w:start w:w="120" w:type="dxa"/>
              <w:bottom w:w="80" w:type="dxa"/>
              <w:end w:w="120" w:type="dxa"/>
            </w:tcMar>
            <w:vAlign w:val="center"/>
          </w:tcPr>
          <w:p>
            <w:pPr>
              <w:spacing w:after="0"/>
            </w:pPr>
            <w:r>
              <w:rPr>
                <w:rFonts w:ascii="Calibri" w:hAnsi="Calibri"/>
                <w:color w:val="000000"/>
                <w:sz w:val="18"/>
              </w:rPr>
              <w:t>32</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Deblend contrast</w:t>
            </w:r>
          </w:p>
        </w:tc>
        <w:tc>
          <w:tcPr>
            <w:tcW w:type="dxa" w:w="2780"/>
            <w:tcMar>
              <w:top w:w="80" w:type="dxa"/>
              <w:start w:w="120" w:type="dxa"/>
              <w:bottom w:w="80" w:type="dxa"/>
              <w:end w:w="120" w:type="dxa"/>
            </w:tcMar>
            <w:vAlign w:val="center"/>
          </w:tcPr>
          <w:p>
            <w:pPr>
              <w:spacing w:after="0"/>
            </w:pPr>
            <w:r>
              <w:rPr>
                <w:rFonts w:ascii="Calibri" w:hAnsi="Calibri"/>
                <w:color w:val="000000"/>
                <w:sz w:val="18"/>
              </w:rPr>
              <w:t>0.00179745</w:t>
            </w:r>
          </w:p>
        </w:tc>
        <w:tc>
          <w:tcPr>
            <w:tcW w:type="dxa" w:w="1900"/>
            <w:tcMar>
              <w:top w:w="80" w:type="dxa"/>
              <w:start w:w="120" w:type="dxa"/>
              <w:bottom w:w="80" w:type="dxa"/>
              <w:end w:w="120" w:type="dxa"/>
            </w:tcMar>
            <w:vAlign w:val="center"/>
          </w:tcPr>
          <w:p>
            <w:pPr>
              <w:spacing w:after="0"/>
            </w:pPr>
            <w:r>
              <w:rPr>
                <w:rFonts w:ascii="Calibri" w:hAnsi="Calibri"/>
                <w:color w:val="000000"/>
                <w:sz w:val="18"/>
              </w:rPr>
              <w:t>Background size</w:t>
            </w:r>
          </w:p>
        </w:tc>
        <w:tc>
          <w:tcPr>
            <w:tcW w:type="dxa" w:w="2780"/>
            <w:tcMar>
              <w:top w:w="80" w:type="dxa"/>
              <w:start w:w="120" w:type="dxa"/>
              <w:bottom w:w="80" w:type="dxa"/>
              <w:end w:w="120" w:type="dxa"/>
            </w:tcMar>
            <w:vAlign w:val="center"/>
          </w:tcPr>
          <w:p>
            <w:pPr>
              <w:spacing w:after="0"/>
            </w:pPr>
            <w:r>
              <w:rPr>
                <w:rFonts w:ascii="Calibri" w:hAnsi="Calibri"/>
                <w:color w:val="000000"/>
                <w:sz w:val="18"/>
              </w:rPr>
              <w:t>48</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Filter size</w:t>
            </w:r>
          </w:p>
        </w:tc>
        <w:tc>
          <w:tcPr>
            <w:tcW w:type="dxa" w:w="2780"/>
            <w:tcMar>
              <w:top w:w="80" w:type="dxa"/>
              <w:start w:w="120" w:type="dxa"/>
              <w:bottom w:w="80" w:type="dxa"/>
              <w:end w:w="120" w:type="dxa"/>
            </w:tcMar>
            <w:vAlign w:val="center"/>
          </w:tcPr>
          <w:p>
            <w:pPr>
              <w:spacing w:after="0"/>
            </w:pPr>
            <w:r>
              <w:rPr>
                <w:rFonts w:ascii="Calibri" w:hAnsi="Calibri"/>
                <w:color w:val="000000"/>
                <w:sz w:val="18"/>
              </w:rPr>
              <w:t>1</w:t>
            </w:r>
          </w:p>
        </w:tc>
        <w:tc>
          <w:tcPr>
            <w:tcW w:type="dxa" w:w="1900"/>
            <w:tcMar>
              <w:top w:w="80" w:type="dxa"/>
              <w:start w:w="120" w:type="dxa"/>
              <w:bottom w:w="80" w:type="dxa"/>
              <w:end w:w="120" w:type="dxa"/>
            </w:tcMar>
            <w:vAlign w:val="center"/>
          </w:tcPr>
          <w:p>
            <w:pPr>
              <w:spacing w:after="0"/>
            </w:pPr>
            <w:r>
              <w:rPr>
                <w:rFonts w:ascii="Calibri" w:hAnsi="Calibri"/>
                <w:color w:val="000000"/>
                <w:sz w:val="18"/>
              </w:rPr>
              <w:t>Dilation radius</w:t>
            </w:r>
          </w:p>
        </w:tc>
        <w:tc>
          <w:tcPr>
            <w:tcW w:type="dxa" w:w="2780"/>
            <w:tcMar>
              <w:top w:w="80" w:type="dxa"/>
              <w:start w:w="120" w:type="dxa"/>
              <w:bottom w:w="80" w:type="dxa"/>
              <w:end w:w="120" w:type="dxa"/>
            </w:tcMar>
            <w:vAlign w:val="center"/>
          </w:tcPr>
          <w:p>
            <w:pPr>
              <w:spacing w:after="0"/>
            </w:pPr>
            <w:r>
              <w:rPr>
                <w:rFonts w:ascii="Calibri" w:hAnsi="Calibri"/>
                <w:color w:val="000000"/>
                <w:sz w:val="18"/>
              </w:rPr>
              <w:t>4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Maximum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4,309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Maximum elongation</w:t>
            </w:r>
          </w:p>
        </w:tc>
        <w:tc>
          <w:tcPr>
            <w:tcW w:type="dxa" w:w="2780"/>
            <w:tcMar>
              <w:top w:w="80" w:type="dxa"/>
              <w:start w:w="120" w:type="dxa"/>
              <w:bottom w:w="80" w:type="dxa"/>
              <w:end w:w="120" w:type="dxa"/>
            </w:tcMar>
            <w:vAlign w:val="center"/>
          </w:tcPr>
          <w:p>
            <w:pPr>
              <w:spacing w:after="0"/>
            </w:pPr>
            <w:r>
              <w:rPr>
                <w:rFonts w:ascii="Calibri" w:hAnsi="Calibri"/>
                <w:color w:val="000000"/>
                <w:sz w:val="18"/>
              </w:rPr>
              <w:t>26.6013</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Central exclusion</w:t>
            </w:r>
          </w:p>
        </w:tc>
        <w:tc>
          <w:tcPr>
            <w:tcW w:type="dxa" w:w="2780"/>
            <w:tcMar>
              <w:top w:w="80" w:type="dxa"/>
              <w:start w:w="120" w:type="dxa"/>
              <w:bottom w:w="80" w:type="dxa"/>
              <w:end w:w="120" w:type="dxa"/>
            </w:tcMar>
            <w:vAlign w:val="center"/>
          </w:tcPr>
          <w:p>
            <w:pPr>
              <w:spacing w:after="0"/>
            </w:pPr>
            <w:r>
              <w:rPr>
                <w:rFonts w:ascii="Calibri" w:hAnsi="Calibri"/>
                <w:color w:val="000000"/>
                <w:sz w:val="18"/>
              </w:rPr>
              <w:t>8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Winning fold</w:t>
            </w:r>
          </w:p>
        </w:tc>
        <w:tc>
          <w:tcPr>
            <w:tcW w:type="dxa" w:w="2780"/>
            <w:tcMar>
              <w:top w:w="80" w:type="dxa"/>
              <w:start w:w="120" w:type="dxa"/>
              <w:bottom w:w="80" w:type="dxa"/>
              <w:end w:w="120" w:type="dxa"/>
            </w:tcMar>
            <w:vAlign w:val="center"/>
          </w:tcPr>
          <w:p>
            <w:pPr>
              <w:spacing w:after="0"/>
            </w:pPr>
            <w:r>
              <w:rPr>
                <w:rFonts w:ascii="Calibri" w:hAnsi="Calibri"/>
                <w:color w:val="000000"/>
                <w:sz w:val="18"/>
              </w:rPr>
              <w:t>4</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SEP interpretation</w:t>
            </w:r>
          </w:p>
          <w:p>
            <w:pPr>
              <w:spacing w:after="0"/>
            </w:pPr>
            <w:r>
              <w:rPr>
                <w:rFonts w:ascii="Calibri" w:hAnsi="Calibri"/>
                <w:color w:val="000000"/>
                <w:sz w:val="21"/>
              </w:rPr>
              <w:t>SEP provides the better balance of recovery and restraint. Its common-40 score is more than twice the MTObjects score under their respective recovery objectives. The result supports SEP as the default automated foreground-mask generator, subject to visual review of outliers and galaxies with complex intrinsic structure.</w:t>
            </w:r>
          </w:p>
        </w:tc>
      </w:tr>
    </w:tbl>
    <w:p>
      <w:pPr>
        <w:spacing w:after="0"/>
      </w:pPr>
    </w:p>
    <w:p>
      <w:pPr>
        <w:pStyle w:val="Heading1"/>
      </w:pPr>
      <w:r>
        <w:t>3. MTObjects recovery optimisation results</w:t>
      </w:r>
    </w:p>
    <w:tbl>
      <w:tblPr>
        <w:tblStyle w:val="TableGrid"/>
        <w:tblW w:type="dxa" w:w="9360"/>
        <w:jc w:val="left"/>
        <w:tblLayout w:type="fixed"/>
        <w:tblLook w:firstColumn="1" w:firstRow="1" w:lastColumn="0" w:lastRow="0" w:noHBand="0" w:noVBand="1" w:val="04A0"/>
        <w:tblInd w:w="120" w:type="dxa"/>
      </w:tblPr>
      <w:tblGrid>
        <w:gridCol w:w="1200"/>
        <w:gridCol w:w="2300"/>
        <w:gridCol w:w="2600"/>
        <w:gridCol w:w="3260"/>
      </w:tblGrid>
      <w:tr>
        <w:trPr>
          <w:tblHeader w:val="true"/>
        </w:trPr>
        <w:tc>
          <w:tcPr>
            <w:tcW w:type="dxa" w:w="1200"/>
            <w:shd w:fill="F2F4F7"/>
            <w:tcMar>
              <w:top w:w="80" w:type="dxa"/>
              <w:start w:w="120" w:type="dxa"/>
              <w:bottom w:w="80" w:type="dxa"/>
              <w:end w:w="120" w:type="dxa"/>
            </w:tcMar>
            <w:vAlign w:val="center"/>
          </w:tcPr>
          <w:p>
            <w:pPr>
              <w:spacing w:after="0"/>
            </w:pPr>
            <w:r>
              <w:rPr>
                <w:rFonts w:ascii="Calibri" w:hAnsi="Calibri"/>
                <w:b/>
                <w:color w:val="000000"/>
                <w:sz w:val="18"/>
              </w:rPr>
              <w:t>Fold</w:t>
            </w:r>
          </w:p>
        </w:tc>
        <w:tc>
          <w:tcPr>
            <w:tcW w:type="dxa" w:w="2300"/>
            <w:shd w:fill="F2F4F7"/>
            <w:tcMar>
              <w:top w:w="80" w:type="dxa"/>
              <w:start w:w="120" w:type="dxa"/>
              <w:bottom w:w="80" w:type="dxa"/>
              <w:end w:w="120" w:type="dxa"/>
            </w:tcMar>
            <w:vAlign w:val="center"/>
          </w:tcPr>
          <w:p>
            <w:pPr>
              <w:spacing w:after="0"/>
            </w:pPr>
            <w:r>
              <w:rPr>
                <w:rFonts w:ascii="Calibri" w:hAnsi="Calibri"/>
                <w:b/>
                <w:color w:val="000000"/>
                <w:sz w:val="18"/>
              </w:rPr>
              <w:t>Held-out score</w:t>
            </w:r>
          </w:p>
        </w:tc>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Common-40 score</w:t>
            </w:r>
          </w:p>
        </w:tc>
        <w:tc>
          <w:tcPr>
            <w:tcW w:type="dxa" w:w="3260"/>
            <w:shd w:fill="F2F4F7"/>
            <w:tcMar>
              <w:top w:w="80" w:type="dxa"/>
              <w:start w:w="120" w:type="dxa"/>
              <w:bottom w:w="80" w:type="dxa"/>
              <w:end w:w="120" w:type="dxa"/>
            </w:tcMar>
            <w:vAlign w:val="center"/>
          </w:tcPr>
          <w:p>
            <w:pPr>
              <w:spacing w:after="0"/>
            </w:pPr>
            <w:r>
              <w:rPr>
                <w:rFonts w:ascii="Calibri" w:hAnsi="Calibri"/>
                <w:b/>
                <w:color w:val="000000"/>
                <w:sz w:val="18"/>
              </w:rPr>
              <w:t>Feasible across folds</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1</w:t>
            </w:r>
          </w:p>
        </w:tc>
        <w:tc>
          <w:tcPr>
            <w:tcW w:type="dxa" w:w="2300"/>
            <w:tcMar>
              <w:top w:w="80" w:type="dxa"/>
              <w:start w:w="120" w:type="dxa"/>
              <w:bottom w:w="80" w:type="dxa"/>
              <w:end w:w="120" w:type="dxa"/>
            </w:tcMar>
            <w:vAlign w:val="center"/>
          </w:tcPr>
          <w:p>
            <w:pPr>
              <w:spacing w:after="0"/>
            </w:pPr>
            <w:r>
              <w:rPr>
                <w:rFonts w:ascii="Calibri" w:hAnsi="Calibri"/>
                <w:color w:val="000000"/>
                <w:sz w:val="18"/>
              </w:rPr>
              <w:t>0.1837</w:t>
            </w:r>
          </w:p>
        </w:tc>
        <w:tc>
          <w:tcPr>
            <w:tcW w:type="dxa" w:w="2600"/>
            <w:tcMar>
              <w:top w:w="80" w:type="dxa"/>
              <w:start w:w="120" w:type="dxa"/>
              <w:bottom w:w="80" w:type="dxa"/>
              <w:end w:w="120" w:type="dxa"/>
            </w:tcMar>
            <w:vAlign w:val="center"/>
          </w:tcPr>
          <w:p>
            <w:pPr>
              <w:spacing w:after="0"/>
            </w:pPr>
            <w:r>
              <w:rPr>
                <w:rFonts w:ascii="Calibri" w:hAnsi="Calibri"/>
                <w:color w:val="000000"/>
                <w:sz w:val="18"/>
              </w:rPr>
              <w:t>0.1958</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2</w:t>
            </w:r>
          </w:p>
        </w:tc>
        <w:tc>
          <w:tcPr>
            <w:tcW w:type="dxa" w:w="2300"/>
            <w:tcMar>
              <w:top w:w="80" w:type="dxa"/>
              <w:start w:w="120" w:type="dxa"/>
              <w:bottom w:w="80" w:type="dxa"/>
              <w:end w:w="120" w:type="dxa"/>
            </w:tcMar>
            <w:vAlign w:val="center"/>
          </w:tcPr>
          <w:p>
            <w:pPr>
              <w:spacing w:after="0"/>
            </w:pPr>
            <w:r>
              <w:rPr>
                <w:rFonts w:ascii="Calibri" w:hAnsi="Calibri"/>
                <w:color w:val="000000"/>
                <w:sz w:val="18"/>
              </w:rPr>
              <w:t>0.2617</w:t>
            </w:r>
          </w:p>
        </w:tc>
        <w:tc>
          <w:tcPr>
            <w:tcW w:type="dxa" w:w="2600"/>
            <w:tcMar>
              <w:top w:w="80" w:type="dxa"/>
              <w:start w:w="120" w:type="dxa"/>
              <w:bottom w:w="80" w:type="dxa"/>
              <w:end w:w="120" w:type="dxa"/>
            </w:tcMar>
            <w:vAlign w:val="center"/>
          </w:tcPr>
          <w:p>
            <w:pPr>
              <w:spacing w:after="0"/>
            </w:pPr>
            <w:r>
              <w:rPr>
                <w:rFonts w:ascii="Calibri" w:hAnsi="Calibri"/>
                <w:color w:val="000000"/>
                <w:sz w:val="18"/>
              </w:rPr>
              <w:t>0.2070</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3 (selected)</w:t>
            </w:r>
          </w:p>
        </w:tc>
        <w:tc>
          <w:tcPr>
            <w:tcW w:type="dxa" w:w="2300"/>
            <w:tcMar>
              <w:top w:w="80" w:type="dxa"/>
              <w:start w:w="120" w:type="dxa"/>
              <w:bottom w:w="80" w:type="dxa"/>
              <w:end w:w="120" w:type="dxa"/>
            </w:tcMar>
            <w:vAlign w:val="center"/>
          </w:tcPr>
          <w:p>
            <w:pPr>
              <w:spacing w:after="0"/>
            </w:pPr>
            <w:r>
              <w:rPr>
                <w:rFonts w:ascii="Calibri" w:hAnsi="Calibri"/>
                <w:color w:val="000000"/>
                <w:sz w:val="18"/>
              </w:rPr>
              <w:t>0.2442</w:t>
            </w:r>
          </w:p>
        </w:tc>
        <w:tc>
          <w:tcPr>
            <w:tcW w:type="dxa" w:w="2600"/>
            <w:tcMar>
              <w:top w:w="80" w:type="dxa"/>
              <w:start w:w="120" w:type="dxa"/>
              <w:bottom w:w="80" w:type="dxa"/>
              <w:end w:w="120" w:type="dxa"/>
            </w:tcMar>
            <w:vAlign w:val="center"/>
          </w:tcPr>
          <w:p>
            <w:pPr>
              <w:spacing w:after="0"/>
            </w:pPr>
            <w:r>
              <w:rPr>
                <w:rFonts w:ascii="Calibri" w:hAnsi="Calibri"/>
                <w:color w:val="000000"/>
                <w:sz w:val="18"/>
              </w:rPr>
              <w:t>0.2325</w:t>
            </w:r>
          </w:p>
        </w:tc>
        <w:tc>
          <w:tcPr>
            <w:tcW w:type="dxa" w:w="3260"/>
            <w:tcMar>
              <w:top w:w="80" w:type="dxa"/>
              <w:start w:w="120" w:type="dxa"/>
              <w:bottom w:w="80" w:type="dxa"/>
              <w:end w:w="120" w:type="dxa"/>
            </w:tcMar>
            <w:vAlign w:val="center"/>
          </w:tcPr>
          <w:p>
            <w:pPr>
              <w:spacing w:after="0"/>
            </w:pPr>
            <w:r>
              <w:rPr>
                <w:rFonts w:ascii="Calibri" w:hAnsi="Calibri"/>
                <w:color w:val="000000"/>
                <w:sz w:val="18"/>
              </w:rPr>
              <w:t>Yes</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4</w:t>
            </w:r>
          </w:p>
        </w:tc>
        <w:tc>
          <w:tcPr>
            <w:tcW w:type="dxa" w:w="2300"/>
            <w:tcMar>
              <w:top w:w="80" w:type="dxa"/>
              <w:start w:w="120" w:type="dxa"/>
              <w:bottom w:w="80" w:type="dxa"/>
              <w:end w:w="120" w:type="dxa"/>
            </w:tcMar>
            <w:vAlign w:val="center"/>
          </w:tcPr>
          <w:p>
            <w:pPr>
              <w:spacing w:after="0"/>
            </w:pPr>
            <w:r>
              <w:rPr>
                <w:rFonts w:ascii="Calibri" w:hAnsi="Calibri"/>
                <w:color w:val="000000"/>
                <w:sz w:val="18"/>
              </w:rPr>
              <w:t>0.2135</w:t>
            </w:r>
          </w:p>
        </w:tc>
        <w:tc>
          <w:tcPr>
            <w:tcW w:type="dxa" w:w="2600"/>
            <w:tcMar>
              <w:top w:w="80" w:type="dxa"/>
              <w:start w:w="120" w:type="dxa"/>
              <w:bottom w:w="80" w:type="dxa"/>
              <w:end w:w="120" w:type="dxa"/>
            </w:tcMar>
            <w:vAlign w:val="center"/>
          </w:tcPr>
          <w:p>
            <w:pPr>
              <w:spacing w:after="0"/>
            </w:pPr>
            <w:r>
              <w:rPr>
                <w:rFonts w:ascii="Calibri" w:hAnsi="Calibri"/>
                <w:color w:val="000000"/>
                <w:sz w:val="18"/>
              </w:rPr>
              <w:t>0.2294</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bl>
    <w:p>
      <w:pPr>
        <w:spacing w:after="0"/>
      </w:pPr>
    </w:p>
    <w:p>
      <w:r>
        <w:t>Fold 2 achieved the highest individual held-out score, while fold 4 approached the selected candidate on the common-40 score. Fold 3 was selected because it was the only candidate to satisfy the minimum toy-detection and toy-recall gates in every fold while remaining below the 15% maximum masked-fraction limit. This selection favours robustness over a single favourable split.</w:t>
      </w:r>
    </w:p>
    <w:p>
      <w:pPr>
        <w:pStyle w:val="Heading2"/>
      </w:pPr>
      <w:r>
        <w:t>Selected MTObjects parameters</w:t>
      </w:r>
    </w:p>
    <w:tbl>
      <w:tblPr>
        <w:tblStyle w:val="TableGrid"/>
        <w:tblW w:type="dxa" w:w="9360"/>
        <w:jc w:val="left"/>
        <w:tblLayout w:type="fixed"/>
        <w:tblLook w:firstColumn="1" w:firstRow="1" w:lastColumn="0" w:lastRow="0" w:noHBand="0" w:noVBand="1" w:val="04A0"/>
        <w:tblInd w:w="120" w:type="dxa"/>
      </w:tblPr>
      <w:tblGrid>
        <w:gridCol w:w="1900"/>
        <w:gridCol w:w="2780"/>
        <w:gridCol w:w="1900"/>
        <w:gridCol w:w="278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Detection image</w:t>
            </w:r>
          </w:p>
        </w:tc>
        <w:tc>
          <w:tcPr>
            <w:tcW w:type="dxa" w:w="2780"/>
            <w:tcMar>
              <w:top w:w="80" w:type="dxa"/>
              <w:start w:w="120" w:type="dxa"/>
              <w:bottom w:w="80" w:type="dxa"/>
              <w:end w:w="120" w:type="dxa"/>
            </w:tcMar>
            <w:vAlign w:val="center"/>
          </w:tcPr>
          <w:p>
            <w:pPr>
              <w:spacing w:after="0"/>
            </w:pPr>
            <w:r>
              <w:rPr>
                <w:rFonts w:ascii="Calibri" w:hAnsi="Calibri"/>
                <w:color w:val="000000"/>
                <w:sz w:val="18"/>
              </w:rPr>
              <w:t>Original</w:t>
            </w:r>
          </w:p>
        </w:tc>
        <w:tc>
          <w:tcPr>
            <w:tcW w:type="dxa" w:w="1900"/>
            <w:tcMar>
              <w:top w:w="80" w:type="dxa"/>
              <w:start w:w="120" w:type="dxa"/>
              <w:bottom w:w="80" w:type="dxa"/>
              <w:end w:w="120" w:type="dxa"/>
            </w:tcMar>
            <w:vAlign w:val="center"/>
          </w:tcPr>
          <w:p>
            <w:pPr>
              <w:spacing w:after="0"/>
            </w:pPr>
            <w:r>
              <w:rPr>
                <w:rFonts w:ascii="Calibri" w:hAnsi="Calibri"/>
                <w:color w:val="000000"/>
                <w:sz w:val="18"/>
              </w:rPr>
              <w:t>Move factor</w:t>
            </w:r>
          </w:p>
        </w:tc>
        <w:tc>
          <w:tcPr>
            <w:tcW w:type="dxa" w:w="2780"/>
            <w:tcMar>
              <w:top w:w="80" w:type="dxa"/>
              <w:start w:w="120" w:type="dxa"/>
              <w:bottom w:w="80" w:type="dxa"/>
              <w:end w:w="120" w:type="dxa"/>
            </w:tcMar>
            <w:vAlign w:val="center"/>
          </w:tcPr>
          <w:p>
            <w:pPr>
              <w:spacing w:after="0"/>
            </w:pPr>
            <w:r>
              <w:rPr>
                <w:rFonts w:ascii="Calibri" w:hAnsi="Calibri"/>
                <w:color w:val="000000"/>
                <w:sz w:val="18"/>
              </w:rPr>
              <w:t>0.80516</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Minimum distance</w:t>
            </w:r>
          </w:p>
        </w:tc>
        <w:tc>
          <w:tcPr>
            <w:tcW w:type="dxa" w:w="2780"/>
            <w:tcMar>
              <w:top w:w="80" w:type="dxa"/>
              <w:start w:w="120" w:type="dxa"/>
              <w:bottom w:w="80" w:type="dxa"/>
              <w:end w:w="120" w:type="dxa"/>
            </w:tcMar>
            <w:vAlign w:val="center"/>
          </w:tcPr>
          <w:p>
            <w:pPr>
              <w:spacing w:after="0"/>
            </w:pPr>
            <w:r>
              <w:rPr>
                <w:rFonts w:ascii="Calibri" w:hAnsi="Calibri"/>
                <w:color w:val="000000"/>
                <w:sz w:val="18"/>
              </w:rPr>
              <w:t>0.21516</w:t>
            </w:r>
          </w:p>
        </w:tc>
        <w:tc>
          <w:tcPr>
            <w:tcW w:type="dxa" w:w="1900"/>
            <w:tcMar>
              <w:top w:w="80" w:type="dxa"/>
              <w:start w:w="120" w:type="dxa"/>
              <w:bottom w:w="80" w:type="dxa"/>
              <w:end w:w="120" w:type="dxa"/>
            </w:tcMar>
            <w:vAlign w:val="center"/>
          </w:tcPr>
          <w:p>
            <w:pPr>
              <w:spacing w:after="0"/>
            </w:pPr>
            <w:r>
              <w:rPr>
                <w:rFonts w:ascii="Calibri" w:hAnsi="Calibri"/>
                <w:color w:val="000000"/>
                <w:sz w:val="18"/>
              </w:rPr>
              <w:t>Gaussian FWHM</w:t>
            </w:r>
          </w:p>
        </w:tc>
        <w:tc>
          <w:tcPr>
            <w:tcW w:type="dxa" w:w="2780"/>
            <w:tcMar>
              <w:top w:w="80" w:type="dxa"/>
              <w:start w:w="120" w:type="dxa"/>
              <w:bottom w:w="80" w:type="dxa"/>
              <w:end w:w="120" w:type="dxa"/>
            </w:tcMar>
            <w:vAlign w:val="center"/>
          </w:tcPr>
          <w:p>
            <w:pPr>
              <w:spacing w:after="0"/>
            </w:pPr>
            <w:r>
              <w:rPr>
                <w:rFonts w:ascii="Calibri" w:hAnsi="Calibri"/>
                <w:color w:val="000000"/>
                <w:sz w:val="18"/>
              </w:rPr>
              <w:t>0.42985</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Background variance</w:t>
            </w:r>
          </w:p>
        </w:tc>
        <w:tc>
          <w:tcPr>
            <w:tcW w:type="dxa" w:w="2780"/>
            <w:tcMar>
              <w:top w:w="80" w:type="dxa"/>
              <w:start w:w="120" w:type="dxa"/>
              <w:bottom w:w="80" w:type="dxa"/>
              <w:end w:w="120" w:type="dxa"/>
            </w:tcMar>
            <w:vAlign w:val="center"/>
          </w:tcPr>
          <w:p>
            <w:pPr>
              <w:spacing w:after="0"/>
            </w:pPr>
            <w:r>
              <w:rPr>
                <w:rFonts w:ascii="Calibri" w:hAnsi="Calibri"/>
                <w:color w:val="000000"/>
                <w:sz w:val="18"/>
              </w:rPr>
              <w:t>0.00082103</w:t>
            </w:r>
          </w:p>
        </w:tc>
        <w:tc>
          <w:tcPr>
            <w:tcW w:type="dxa" w:w="1900"/>
            <w:tcMar>
              <w:top w:w="80" w:type="dxa"/>
              <w:start w:w="120" w:type="dxa"/>
              <w:bottom w:w="80" w:type="dxa"/>
              <w:end w:w="120" w:type="dxa"/>
            </w:tcMar>
            <w:vAlign w:val="center"/>
          </w:tcPr>
          <w:p>
            <w:pPr>
              <w:spacing w:after="0"/>
            </w:pPr>
            <w:r>
              <w:rPr>
                <w:rFonts w:ascii="Calibri" w:hAnsi="Calibri"/>
                <w:color w:val="000000"/>
                <w:sz w:val="18"/>
              </w:rPr>
              <w:t>Minimum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5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Dilation radius</w:t>
            </w:r>
          </w:p>
        </w:tc>
        <w:tc>
          <w:tcPr>
            <w:tcW w:type="dxa" w:w="2780"/>
            <w:tcMar>
              <w:top w:w="80" w:type="dxa"/>
              <w:start w:w="120" w:type="dxa"/>
              <w:bottom w:w="80" w:type="dxa"/>
              <w:end w:w="120" w:type="dxa"/>
            </w:tcMar>
            <w:vAlign w:val="center"/>
          </w:tcPr>
          <w:p>
            <w:pPr>
              <w:spacing w:after="0"/>
            </w:pPr>
            <w:r>
              <w:rPr>
                <w:rFonts w:ascii="Calibri" w:hAnsi="Calibri"/>
                <w:color w:val="000000"/>
                <w:sz w:val="18"/>
              </w:rPr>
              <w:t>3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Maximum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2,987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Maximum elongation</w:t>
            </w:r>
          </w:p>
        </w:tc>
        <w:tc>
          <w:tcPr>
            <w:tcW w:type="dxa" w:w="2780"/>
            <w:tcMar>
              <w:top w:w="80" w:type="dxa"/>
              <w:start w:w="120" w:type="dxa"/>
              <w:bottom w:w="80" w:type="dxa"/>
              <w:end w:w="120" w:type="dxa"/>
            </w:tcMar>
            <w:vAlign w:val="center"/>
          </w:tcPr>
          <w:p>
            <w:pPr>
              <w:spacing w:after="0"/>
            </w:pPr>
            <w:r>
              <w:rPr>
                <w:rFonts w:ascii="Calibri" w:hAnsi="Calibri"/>
                <w:color w:val="000000"/>
                <w:sz w:val="18"/>
              </w:rPr>
              <w:t>12.3811</w:t>
            </w:r>
          </w:p>
        </w:tc>
        <w:tc>
          <w:tcPr>
            <w:tcW w:type="dxa" w:w="1900"/>
            <w:tcMar>
              <w:top w:w="80" w:type="dxa"/>
              <w:start w:w="120" w:type="dxa"/>
              <w:bottom w:w="80" w:type="dxa"/>
              <w:end w:w="120" w:type="dxa"/>
            </w:tcMar>
            <w:vAlign w:val="center"/>
          </w:tcPr>
          <w:p>
            <w:pPr>
              <w:spacing w:after="0"/>
            </w:pPr>
            <w:r>
              <w:rPr>
                <w:rFonts w:ascii="Calibri" w:hAnsi="Calibri"/>
                <w:color w:val="000000"/>
                <w:sz w:val="18"/>
              </w:rPr>
              <w:t>Central exclusion</w:t>
            </w:r>
          </w:p>
        </w:tc>
        <w:tc>
          <w:tcPr>
            <w:tcW w:type="dxa" w:w="2780"/>
            <w:tcMar>
              <w:top w:w="80" w:type="dxa"/>
              <w:start w:w="120" w:type="dxa"/>
              <w:bottom w:w="80" w:type="dxa"/>
              <w:end w:w="120" w:type="dxa"/>
            </w:tcMar>
            <w:vAlign w:val="center"/>
          </w:tcPr>
          <w:p>
            <w:pPr>
              <w:spacing w:after="0"/>
            </w:pPr>
            <w:r>
              <w:rPr>
                <w:rFonts w:ascii="Calibri" w:hAnsi="Calibri"/>
                <w:color w:val="000000"/>
                <w:sz w:val="18"/>
              </w:rPr>
              <w:t>8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Alpha</w:t>
            </w:r>
          </w:p>
        </w:tc>
        <w:tc>
          <w:tcPr>
            <w:tcW w:type="dxa" w:w="2780"/>
            <w:tcMar>
              <w:top w:w="80" w:type="dxa"/>
              <w:start w:w="120" w:type="dxa"/>
              <w:bottom w:w="80" w:type="dxa"/>
              <w:end w:w="120" w:type="dxa"/>
            </w:tcMar>
            <w:vAlign w:val="center"/>
          </w:tcPr>
          <w:p>
            <w:pPr>
              <w:spacing w:after="0"/>
            </w:pPr>
            <w:r>
              <w:rPr>
                <w:rFonts w:ascii="Calibri" w:hAnsi="Calibri"/>
                <w:color w:val="000000"/>
                <w:sz w:val="18"/>
              </w:rPr>
              <w:t>1 x 10^-6</w:t>
            </w:r>
          </w:p>
        </w:tc>
        <w:tc>
          <w:tcPr>
            <w:tcW w:type="dxa" w:w="1900"/>
            <w:tcMar>
              <w:top w:w="80" w:type="dxa"/>
              <w:start w:w="120" w:type="dxa"/>
              <w:bottom w:w="80" w:type="dxa"/>
              <w:end w:w="120" w:type="dxa"/>
            </w:tcMar>
            <w:vAlign w:val="center"/>
          </w:tcPr>
          <w:p>
            <w:pPr>
              <w:spacing w:after="0"/>
            </w:pPr>
            <w:r>
              <w:rPr>
                <w:rFonts w:ascii="Calibri" w:hAnsi="Calibri"/>
                <w:color w:val="000000"/>
                <w:sz w:val="18"/>
              </w:rPr>
              <w:t>Winning fold</w:t>
            </w:r>
          </w:p>
        </w:tc>
        <w:tc>
          <w:tcPr>
            <w:tcW w:type="dxa" w:w="2780"/>
            <w:tcMar>
              <w:top w:w="80" w:type="dxa"/>
              <w:start w:w="120" w:type="dxa"/>
              <w:bottom w:w="80" w:type="dxa"/>
              <w:end w:w="120" w:type="dxa"/>
            </w:tcMar>
            <w:vAlign w:val="center"/>
          </w:tcPr>
          <w:p>
            <w:pPr>
              <w:spacing w:after="0"/>
            </w:pPr>
            <w:r>
              <w:rPr>
                <w:rFonts w:ascii="Calibri" w:hAnsi="Calibri"/>
                <w:color w:val="000000"/>
                <w:sz w:val="18"/>
              </w:rPr>
              <w:t>3</w:t>
            </w:r>
          </w:p>
        </w:tc>
      </w:tr>
    </w:tbl>
    <w:p>
      <w:pPr>
        <w:spacing w:after="0"/>
      </w:pPr>
    </w:p>
    <w:p>
      <w:pPr>
        <w:pStyle w:val="Heading2"/>
      </w:pPr>
      <w:r>
        <w:t>Common-40 performance of the selected candidate</w:t>
      </w:r>
    </w:p>
    <w:tbl>
      <w:tblPr>
        <w:tblStyle w:val="TableGrid"/>
        <w:tblW w:type="dxa" w:w="9360"/>
        <w:jc w:val="left"/>
        <w:tblLayout w:type="fixed"/>
        <w:tblLook w:firstColumn="1" w:firstRow="1" w:lastColumn="0" w:lastRow="0" w:noHBand="0" w:noVBand="1" w:val="04A0"/>
        <w:tblInd w:w="120" w:type="dxa"/>
      </w:tblPr>
      <w:tblGrid>
        <w:gridCol w:w="2600"/>
        <w:gridCol w:w="1700"/>
        <w:gridCol w:w="5060"/>
      </w:tblGrid>
      <w:tr>
        <w:trPr>
          <w:tblHeader w:val="true"/>
        </w:trPr>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Metric</w:t>
            </w:r>
          </w:p>
        </w:tc>
        <w:tc>
          <w:tcPr>
            <w:tcW w:type="dxa" w:w="1700"/>
            <w:shd w:fill="F2F4F7"/>
            <w:tcMar>
              <w:top w:w="80" w:type="dxa"/>
              <w:start w:w="120" w:type="dxa"/>
              <w:bottom w:w="80" w:type="dxa"/>
              <w:end w:w="120" w:type="dxa"/>
            </w:tcMar>
            <w:vAlign w:val="center"/>
          </w:tcPr>
          <w:p>
            <w:pPr>
              <w:spacing w:after="0"/>
            </w:pPr>
            <w:r>
              <w:rPr>
                <w:rFonts w:ascii="Calibri" w:hAnsi="Calibri"/>
                <w:b/>
                <w:color w:val="000000"/>
                <w:sz w:val="18"/>
              </w:rPr>
              <w:t>Result</w:t>
            </w:r>
          </w:p>
        </w:tc>
        <w:tc>
          <w:tcPr>
            <w:tcW w:type="dxa" w:w="5060"/>
            <w:shd w:fill="F2F4F7"/>
            <w:tcMar>
              <w:top w:w="80" w:type="dxa"/>
              <w:start w:w="120" w:type="dxa"/>
              <w:bottom w:w="80" w:type="dxa"/>
              <w:end w:w="120" w:type="dxa"/>
            </w:tcMar>
            <w:vAlign w:val="center"/>
          </w:tcPr>
          <w:p>
            <w:pPr>
              <w:spacing w:after="0"/>
            </w:pPr>
            <w:r>
              <w:rPr>
                <w:rFonts w:ascii="Calibri" w:hAnsi="Calibri"/>
                <w:b/>
                <w:color w:val="000000"/>
                <w:sz w:val="18"/>
              </w:rPr>
              <w:t>Interpretation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Optimisation score</w:t>
            </w:r>
          </w:p>
        </w:tc>
        <w:tc>
          <w:tcPr>
            <w:tcW w:type="dxa" w:w="1700"/>
            <w:tcMar>
              <w:top w:w="80" w:type="dxa"/>
              <w:start w:w="120" w:type="dxa"/>
              <w:bottom w:w="80" w:type="dxa"/>
              <w:end w:w="120" w:type="dxa"/>
            </w:tcMar>
            <w:vAlign w:val="center"/>
          </w:tcPr>
          <w:p>
            <w:pPr>
              <w:spacing w:after="0"/>
            </w:pPr>
            <w:r>
              <w:rPr>
                <w:rFonts w:ascii="Calibri" w:hAnsi="Calibri"/>
                <w:color w:val="000000"/>
                <w:sz w:val="18"/>
              </w:rPr>
              <w:t>0.2325</w:t>
            </w:r>
          </w:p>
        </w:tc>
        <w:tc>
          <w:tcPr>
            <w:tcW w:type="dxa" w:w="5060"/>
            <w:tcMar>
              <w:top w:w="80" w:type="dxa"/>
              <w:start w:w="120" w:type="dxa"/>
              <w:bottom w:w="80" w:type="dxa"/>
              <w:end w:w="120" w:type="dxa"/>
            </w:tcMar>
            <w:vAlign w:val="center"/>
          </w:tcPr>
          <w:p>
            <w:pPr>
              <w:spacing w:after="0"/>
            </w:pPr>
            <w:r>
              <w:rPr>
                <w:rFonts w:ascii="Calibri" w:hAnsi="Calibri"/>
                <w:color w:val="000000"/>
                <w:sz w:val="18"/>
              </w:rPr>
              <w:t>Best feasible common-set candidate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toy recall</w:t>
            </w:r>
          </w:p>
        </w:tc>
        <w:tc>
          <w:tcPr>
            <w:tcW w:type="dxa" w:w="1700"/>
            <w:tcMar>
              <w:top w:w="80" w:type="dxa"/>
              <w:start w:w="120" w:type="dxa"/>
              <w:bottom w:w="80" w:type="dxa"/>
              <w:end w:w="120" w:type="dxa"/>
            </w:tcMar>
            <w:vAlign w:val="center"/>
          </w:tcPr>
          <w:p>
            <w:pPr>
              <w:spacing w:after="0"/>
            </w:pPr>
            <w:r>
              <w:rPr>
                <w:rFonts w:ascii="Calibri" w:hAnsi="Calibri"/>
                <w:color w:val="000000"/>
                <w:sz w:val="18"/>
              </w:rPr>
              <w:t>50.7%</w:t>
            </w:r>
          </w:p>
        </w:tc>
        <w:tc>
          <w:tcPr>
            <w:tcW w:type="dxa" w:w="5060"/>
            <w:tcMar>
              <w:top w:w="80" w:type="dxa"/>
              <w:start w:w="120" w:type="dxa"/>
              <w:bottom w:w="80" w:type="dxa"/>
              <w:end w:w="120" w:type="dxa"/>
            </w:tcMar>
            <w:vAlign w:val="center"/>
          </w:tcPr>
          <w:p>
            <w:pPr>
              <w:spacing w:after="0"/>
            </w:pPr>
            <w:r>
              <w:rPr>
                <w:rFonts w:ascii="Calibri" w:hAnsi="Calibri"/>
                <w:color w:val="000000"/>
                <w:sz w:val="18"/>
              </w:rPr>
              <w:t>About half of injected toy pixels recovered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Toy detection rate</w:t>
            </w:r>
          </w:p>
        </w:tc>
        <w:tc>
          <w:tcPr>
            <w:tcW w:type="dxa" w:w="1700"/>
            <w:tcMar>
              <w:top w:w="80" w:type="dxa"/>
              <w:start w:w="120" w:type="dxa"/>
              <w:bottom w:w="80" w:type="dxa"/>
              <w:end w:w="120" w:type="dxa"/>
            </w:tcMar>
            <w:vAlign w:val="center"/>
          </w:tcPr>
          <w:p>
            <w:pPr>
              <w:spacing w:after="0"/>
            </w:pPr>
            <w:r>
              <w:rPr>
                <w:rFonts w:ascii="Calibri" w:hAnsi="Calibri"/>
                <w:color w:val="000000"/>
                <w:sz w:val="18"/>
              </w:rPr>
              <w:t>53.3%</w:t>
            </w:r>
          </w:p>
        </w:tc>
        <w:tc>
          <w:tcPr>
            <w:tcW w:type="dxa" w:w="5060"/>
            <w:tcMar>
              <w:top w:w="80" w:type="dxa"/>
              <w:start w:w="120" w:type="dxa"/>
              <w:bottom w:w="80" w:type="dxa"/>
              <w:end w:w="120" w:type="dxa"/>
            </w:tcMar>
            <w:vAlign w:val="center"/>
          </w:tcPr>
          <w:p>
            <w:pPr>
              <w:spacing w:after="0"/>
            </w:pPr>
            <w:r>
              <w:rPr>
                <w:rFonts w:ascii="Calibri" w:hAnsi="Calibri"/>
                <w:color w:val="000000"/>
                <w:sz w:val="18"/>
              </w:rPr>
              <w:t>Just over half of toys detected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pixel recall</w:t>
            </w:r>
          </w:p>
        </w:tc>
        <w:tc>
          <w:tcPr>
            <w:tcW w:type="dxa" w:w="1700"/>
            <w:tcMar>
              <w:top w:w="80" w:type="dxa"/>
              <w:start w:w="120" w:type="dxa"/>
              <w:bottom w:w="80" w:type="dxa"/>
              <w:end w:w="120" w:type="dxa"/>
            </w:tcMar>
            <w:vAlign w:val="center"/>
          </w:tcPr>
          <w:p>
            <w:pPr>
              <w:spacing w:after="0"/>
            </w:pPr>
            <w:r>
              <w:rPr>
                <w:rFonts w:ascii="Calibri" w:hAnsi="Calibri"/>
                <w:color w:val="000000"/>
                <w:sz w:val="18"/>
              </w:rPr>
              <w:t>45.5%</w:t>
            </w:r>
          </w:p>
        </w:tc>
        <w:tc>
          <w:tcPr>
            <w:tcW w:type="dxa" w:w="5060"/>
            <w:tcMar>
              <w:top w:w="80" w:type="dxa"/>
              <w:start w:w="120" w:type="dxa"/>
              <w:bottom w:w="80" w:type="dxa"/>
              <w:end w:w="120" w:type="dxa"/>
            </w:tcMar>
            <w:vAlign w:val="center"/>
          </w:tcPr>
          <w:p>
            <w:pPr>
              <w:spacing w:after="0"/>
            </w:pPr>
            <w:r>
              <w:rPr>
                <w:rFonts w:ascii="Calibri" w:hAnsi="Calibri"/>
                <w:color w:val="000000"/>
                <w:sz w:val="18"/>
              </w:rPr>
              <w:t>Moderate recovery of toy truth pixels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pixel precision</w:t>
            </w:r>
          </w:p>
        </w:tc>
        <w:tc>
          <w:tcPr>
            <w:tcW w:type="dxa" w:w="1700"/>
            <w:tcMar>
              <w:top w:w="80" w:type="dxa"/>
              <w:start w:w="120" w:type="dxa"/>
              <w:bottom w:w="80" w:type="dxa"/>
              <w:end w:w="120" w:type="dxa"/>
            </w:tcMar>
            <w:vAlign w:val="center"/>
          </w:tcPr>
          <w:p>
            <w:pPr>
              <w:spacing w:after="0"/>
            </w:pPr>
            <w:r>
              <w:rPr>
                <w:rFonts w:ascii="Calibri" w:hAnsi="Calibri"/>
                <w:color w:val="000000"/>
                <w:sz w:val="18"/>
              </w:rPr>
              <w:t>0.31%</w:t>
            </w:r>
          </w:p>
        </w:tc>
        <w:tc>
          <w:tcPr>
            <w:tcW w:type="dxa" w:w="5060"/>
            <w:tcMar>
              <w:top w:w="80" w:type="dxa"/>
              <w:start w:w="120" w:type="dxa"/>
              <w:bottom w:w="80" w:type="dxa"/>
              <w:end w:w="120" w:type="dxa"/>
            </w:tcMar>
            <w:vAlign w:val="center"/>
          </w:tcPr>
          <w:p>
            <w:pPr>
              <w:spacing w:after="0"/>
            </w:pPr>
            <w:r>
              <w:rPr>
                <w:rFonts w:ascii="Calibri" w:hAnsi="Calibri"/>
                <w:color w:val="000000"/>
                <w:sz w:val="18"/>
              </w:rPr>
              <w:t>Most masked pixels are outside toy truth</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masked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9.07%</w:t>
            </w:r>
          </w:p>
        </w:tc>
        <w:tc>
          <w:tcPr>
            <w:tcW w:type="dxa" w:w="5060"/>
            <w:tcMar>
              <w:top w:w="80" w:type="dxa"/>
              <w:start w:w="120" w:type="dxa"/>
              <w:bottom w:w="80" w:type="dxa"/>
              <w:end w:w="120" w:type="dxa"/>
            </w:tcMar>
            <w:vAlign w:val="center"/>
          </w:tcPr>
          <w:p>
            <w:pPr>
              <w:spacing w:after="0"/>
            </w:pPr>
            <w:r>
              <w:rPr>
                <w:rFonts w:ascii="Calibri" w:hAnsi="Calibri"/>
                <w:color w:val="000000"/>
                <w:sz w:val="18"/>
              </w:rPr>
              <w:t>Material image area removed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Maximum masked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14.63%</w:t>
            </w:r>
          </w:p>
        </w:tc>
        <w:tc>
          <w:tcPr>
            <w:tcW w:type="dxa" w:w="5060"/>
            <w:tcMar>
              <w:top w:w="80" w:type="dxa"/>
              <w:start w:w="120" w:type="dxa"/>
              <w:bottom w:w="80" w:type="dxa"/>
              <w:end w:w="120" w:type="dxa"/>
            </w:tcMar>
            <w:vAlign w:val="center"/>
          </w:tcPr>
          <w:p>
            <w:pPr>
              <w:spacing w:after="0"/>
            </w:pPr>
            <w:r>
              <w:rPr>
                <w:rFonts w:ascii="Calibri" w:hAnsi="Calibri"/>
                <w:color w:val="000000"/>
                <w:sz w:val="18"/>
              </w:rPr>
              <w:t>Close to the 15% constraint</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False-positive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9.05%</w:t>
            </w:r>
          </w:p>
        </w:tc>
        <w:tc>
          <w:tcPr>
            <w:tcW w:type="dxa" w:w="5060"/>
            <w:tcMar>
              <w:top w:w="80" w:type="dxa"/>
              <w:start w:w="120" w:type="dxa"/>
              <w:bottom w:w="80" w:type="dxa"/>
              <w:end w:w="120" w:type="dxa"/>
            </w:tcMar>
            <w:vAlign w:val="center"/>
          </w:tcPr>
          <w:p>
            <w:pPr>
              <w:spacing w:after="0"/>
            </w:pPr>
            <w:r>
              <w:rPr>
                <w:rFonts w:ascii="Calibri" w:hAnsi="Calibri"/>
                <w:color w:val="000000"/>
                <w:sz w:val="18"/>
              </w:rPr>
              <w:t>Collateral mask dominates total mask</w:t>
            </w:r>
          </w:p>
        </w:tc>
      </w:tr>
    </w:tbl>
    <w:p>
      <w:pPr>
        <w:spacing w:after="0"/>
      </w:pPr>
    </w:p>
    <w:p>
      <w:pPr>
        <w:pStyle w:val="Heading1"/>
      </w:pPr>
      <w:r>
        <w:t>4. Comparative assessment</w:t>
      </w:r>
    </w:p>
    <w:tbl>
      <w:tblPr>
        <w:tblStyle w:val="TableGrid"/>
        <w:tblW w:type="dxa" w:w="9360"/>
        <w:jc w:val="left"/>
        <w:tblLayout w:type="fixed"/>
        <w:tblLook w:firstColumn="1" w:firstRow="1" w:lastColumn="0" w:lastRow="0" w:noHBand="0" w:noVBand="1" w:val="04A0"/>
        <w:tblInd w:w="120" w:type="dxa"/>
      </w:tblPr>
      <w:tblGrid>
        <w:gridCol w:w="1900"/>
        <w:gridCol w:w="2100"/>
        <w:gridCol w:w="2200"/>
        <w:gridCol w:w="316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Criterion</w:t>
            </w:r>
          </w:p>
        </w:tc>
        <w:tc>
          <w:tcPr>
            <w:tcW w:type="dxa" w:w="2100"/>
            <w:shd w:fill="F2F4F7"/>
            <w:tcMar>
              <w:top w:w="80" w:type="dxa"/>
              <w:start w:w="120" w:type="dxa"/>
              <w:bottom w:w="80" w:type="dxa"/>
              <w:end w:w="120" w:type="dxa"/>
            </w:tcMar>
            <w:vAlign w:val="center"/>
          </w:tcPr>
          <w:p>
            <w:pPr>
              <w:spacing w:after="0"/>
            </w:pPr>
            <w:r>
              <w:rPr>
                <w:rFonts w:ascii="Calibri" w:hAnsi="Calibri"/>
                <w:b/>
                <w:color w:val="000000"/>
                <w:sz w:val="18"/>
              </w:rPr>
              <w:t>SEP</w:t>
            </w:r>
          </w:p>
        </w:tc>
        <w:tc>
          <w:tcPr>
            <w:tcW w:type="dxa" w:w="2200"/>
            <w:shd w:fill="F2F4F7"/>
            <w:tcMar>
              <w:top w:w="80" w:type="dxa"/>
              <w:start w:w="120" w:type="dxa"/>
              <w:bottom w:w="80" w:type="dxa"/>
              <w:end w:w="120" w:type="dxa"/>
            </w:tcMar>
            <w:vAlign w:val="center"/>
          </w:tcPr>
          <w:p>
            <w:pPr>
              <w:spacing w:after="0"/>
            </w:pPr>
            <w:r>
              <w:rPr>
                <w:rFonts w:ascii="Calibri" w:hAnsi="Calibri"/>
                <w:b/>
                <w:color w:val="000000"/>
                <w:sz w:val="18"/>
              </w:rPr>
              <w:t>MTObjects</w:t>
            </w:r>
          </w:p>
        </w:tc>
        <w:tc>
          <w:tcPr>
            <w:tcW w:type="dxa" w:w="3160"/>
            <w:shd w:fill="F2F4F7"/>
            <w:tcMar>
              <w:top w:w="80" w:type="dxa"/>
              <w:start w:w="120" w:type="dxa"/>
              <w:bottom w:w="80" w:type="dxa"/>
              <w:end w:w="120" w:type="dxa"/>
            </w:tcMar>
            <w:vAlign w:val="center"/>
          </w:tcPr>
          <w:p>
            <w:pPr>
              <w:spacing w:after="0"/>
            </w:pPr>
            <w:r>
              <w:rPr>
                <w:rFonts w:ascii="Calibri" w:hAnsi="Calibri"/>
                <w:b/>
                <w:color w:val="000000"/>
                <w:sz w:val="18"/>
              </w:rPr>
              <w:t>Assessment</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Common-40 score</w:t>
            </w:r>
          </w:p>
        </w:tc>
        <w:tc>
          <w:tcPr>
            <w:tcW w:type="dxa" w:w="2100"/>
            <w:tcMar>
              <w:top w:w="80" w:type="dxa"/>
              <w:start w:w="120" w:type="dxa"/>
              <w:bottom w:w="80" w:type="dxa"/>
              <w:end w:w="120" w:type="dxa"/>
            </w:tcMar>
            <w:vAlign w:val="center"/>
          </w:tcPr>
          <w:p>
            <w:pPr>
              <w:spacing w:after="0"/>
            </w:pPr>
            <w:r>
              <w:rPr>
                <w:rFonts w:ascii="Calibri" w:hAnsi="Calibri"/>
                <w:color w:val="000000"/>
                <w:sz w:val="18"/>
              </w:rPr>
              <w:t>0.5416</w:t>
            </w:r>
          </w:p>
        </w:tc>
        <w:tc>
          <w:tcPr>
            <w:tcW w:type="dxa" w:w="2200"/>
            <w:tcMar>
              <w:top w:w="80" w:type="dxa"/>
              <w:start w:w="120" w:type="dxa"/>
              <w:bottom w:w="80" w:type="dxa"/>
              <w:end w:w="120" w:type="dxa"/>
            </w:tcMar>
            <w:vAlign w:val="center"/>
          </w:tcPr>
          <w:p>
            <w:pPr>
              <w:spacing w:after="0"/>
            </w:pPr>
            <w:r>
              <w:rPr>
                <w:rFonts w:ascii="Calibri" w:hAnsi="Calibri"/>
                <w:color w:val="000000"/>
                <w:sz w:val="18"/>
              </w:rPr>
              <w:t>0.2325</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clearly stronger</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Cross-fold robustness</w:t>
            </w:r>
          </w:p>
        </w:tc>
        <w:tc>
          <w:tcPr>
            <w:tcW w:type="dxa" w:w="2100"/>
            <w:tcMar>
              <w:top w:w="80" w:type="dxa"/>
              <w:start w:w="120" w:type="dxa"/>
              <w:bottom w:w="80" w:type="dxa"/>
              <w:end w:w="120" w:type="dxa"/>
            </w:tcMar>
            <w:vAlign w:val="center"/>
          </w:tcPr>
          <w:p>
            <w:pPr>
              <w:spacing w:after="0"/>
            </w:pPr>
            <w:r>
              <w:rPr>
                <w:rFonts w:ascii="Calibri" w:hAnsi="Calibri"/>
                <w:color w:val="000000"/>
                <w:sz w:val="18"/>
              </w:rPr>
              <w:t>Three strong held-out folds; one weaker</w:t>
            </w:r>
          </w:p>
        </w:tc>
        <w:tc>
          <w:tcPr>
            <w:tcW w:type="dxa" w:w="2200"/>
            <w:tcMar>
              <w:top w:w="80" w:type="dxa"/>
              <w:start w:w="120" w:type="dxa"/>
              <w:bottom w:w="80" w:type="dxa"/>
              <w:end w:w="120" w:type="dxa"/>
            </w:tcMar>
            <w:vAlign w:val="center"/>
          </w:tcPr>
          <w:p>
            <w:pPr>
              <w:spacing w:after="0"/>
            </w:pPr>
            <w:r>
              <w:rPr>
                <w:rFonts w:ascii="Calibri" w:hAnsi="Calibri"/>
                <w:color w:val="000000"/>
                <w:sz w:val="18"/>
              </w:rPr>
              <w:t>Only one candidate passed all gates</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more stable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Recovery behaviour</w:t>
            </w:r>
          </w:p>
        </w:tc>
        <w:tc>
          <w:tcPr>
            <w:tcW w:type="dxa" w:w="2100"/>
            <w:tcMar>
              <w:top w:w="80" w:type="dxa"/>
              <w:start w:w="120" w:type="dxa"/>
              <w:bottom w:w="80" w:type="dxa"/>
              <w:end w:w="120" w:type="dxa"/>
            </w:tcMar>
            <w:vAlign w:val="center"/>
          </w:tcPr>
          <w:p>
            <w:pPr>
              <w:spacing w:after="0"/>
            </w:pPr>
            <w:r>
              <w:rPr>
                <w:rFonts w:ascii="Calibri" w:hAnsi="Calibri"/>
                <w:color w:val="000000"/>
                <w:sz w:val="18"/>
              </w:rPr>
              <w:t>Strong recovery/restraint balance</w:t>
            </w:r>
          </w:p>
        </w:tc>
        <w:tc>
          <w:tcPr>
            <w:tcW w:type="dxa" w:w="2200"/>
            <w:tcMar>
              <w:top w:w="80" w:type="dxa"/>
              <w:start w:w="120" w:type="dxa"/>
              <w:bottom w:w="80" w:type="dxa"/>
              <w:end w:w="120" w:type="dxa"/>
            </w:tcMar>
            <w:vAlign w:val="center"/>
          </w:tcPr>
          <w:p>
            <w:pPr>
              <w:spacing w:after="0"/>
            </w:pPr>
            <w:r>
              <w:rPr>
                <w:rFonts w:ascii="Calibri" w:hAnsi="Calibri"/>
                <w:color w:val="000000"/>
                <w:sz w:val="18"/>
              </w:rPr>
              <w:t>Moderate recovery</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preferred</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Collateral masking</w:t>
            </w:r>
          </w:p>
        </w:tc>
        <w:tc>
          <w:tcPr>
            <w:tcW w:type="dxa" w:w="2100"/>
            <w:tcMar>
              <w:top w:w="80" w:type="dxa"/>
              <w:start w:w="120" w:type="dxa"/>
              <w:bottom w:w="80" w:type="dxa"/>
              <w:end w:w="120" w:type="dxa"/>
            </w:tcMar>
            <w:vAlign w:val="center"/>
          </w:tcPr>
          <w:p>
            <w:pPr>
              <w:spacing w:after="0"/>
            </w:pPr>
            <w:r>
              <w:rPr>
                <w:rFonts w:ascii="Calibri" w:hAnsi="Calibri"/>
                <w:color w:val="000000"/>
                <w:sz w:val="18"/>
              </w:rPr>
              <w:t>Controlled below evaluated limits</w:t>
            </w:r>
          </w:p>
        </w:tc>
        <w:tc>
          <w:tcPr>
            <w:tcW w:type="dxa" w:w="2200"/>
            <w:tcMar>
              <w:top w:w="80" w:type="dxa"/>
              <w:start w:w="120" w:type="dxa"/>
              <w:bottom w:w="80" w:type="dxa"/>
              <w:end w:w="120" w:type="dxa"/>
            </w:tcMar>
            <w:vAlign w:val="center"/>
          </w:tcPr>
          <w:p>
            <w:pPr>
              <w:spacing w:after="0"/>
            </w:pPr>
            <w:r>
              <w:rPr>
                <w:rFonts w:ascii="Calibri" w:hAnsi="Calibri"/>
                <w:color w:val="000000"/>
                <w:sz w:val="18"/>
              </w:rPr>
              <w:t>False-positive fraction about 9%</w:t>
            </w:r>
          </w:p>
        </w:tc>
        <w:tc>
          <w:tcPr>
            <w:tcW w:type="dxa" w:w="3160"/>
            <w:tcMar>
              <w:top w:w="80" w:type="dxa"/>
              <w:start w:w="120" w:type="dxa"/>
              <w:bottom w:w="80" w:type="dxa"/>
              <w:end w:w="120" w:type="dxa"/>
            </w:tcMar>
            <w:vAlign w:val="center"/>
          </w:tcPr>
          <w:p>
            <w:pPr>
              <w:spacing w:after="0"/>
            </w:pPr>
            <w:r>
              <w:rPr>
                <w:rFonts w:ascii="Calibri" w:hAnsi="Calibri"/>
                <w:color w:val="000000"/>
                <w:sz w:val="18"/>
              </w:rPr>
              <w:t>MTObjects needs reduction</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Recommended role</w:t>
            </w:r>
          </w:p>
        </w:tc>
        <w:tc>
          <w:tcPr>
            <w:tcW w:type="dxa" w:w="2100"/>
            <w:tcMar>
              <w:top w:w="80" w:type="dxa"/>
              <w:start w:w="120" w:type="dxa"/>
              <w:bottom w:w="80" w:type="dxa"/>
              <w:end w:w="120" w:type="dxa"/>
            </w:tcMar>
            <w:vAlign w:val="center"/>
          </w:tcPr>
          <w:p>
            <w:pPr>
              <w:spacing w:after="0"/>
            </w:pPr>
            <w:r>
              <w:rPr>
                <w:rFonts w:ascii="Calibri" w:hAnsi="Calibri"/>
                <w:color w:val="000000"/>
                <w:sz w:val="18"/>
              </w:rPr>
              <w:t>Primary automated method</w:t>
            </w:r>
          </w:p>
        </w:tc>
        <w:tc>
          <w:tcPr>
            <w:tcW w:type="dxa" w:w="2200"/>
            <w:tcMar>
              <w:top w:w="80" w:type="dxa"/>
              <w:start w:w="120" w:type="dxa"/>
              <w:bottom w:w="80" w:type="dxa"/>
              <w:end w:w="120" w:type="dxa"/>
            </w:tcMar>
            <w:vAlign w:val="center"/>
          </w:tcPr>
          <w:p>
            <w:pPr>
              <w:spacing w:after="0"/>
            </w:pPr>
            <w:r>
              <w:rPr>
                <w:rFonts w:ascii="Calibri" w:hAnsi="Calibri"/>
                <w:color w:val="000000"/>
                <w:sz w:val="18"/>
              </w:rPr>
              <w:t>Secondary diagnostic/review method</w:t>
            </w:r>
          </w:p>
        </w:tc>
        <w:tc>
          <w:tcPr>
            <w:tcW w:type="dxa" w:w="3160"/>
            <w:tcMar>
              <w:top w:w="80" w:type="dxa"/>
              <w:start w:w="120" w:type="dxa"/>
              <w:bottom w:w="80" w:type="dxa"/>
              <w:end w:w="120" w:type="dxa"/>
            </w:tcMar>
            <w:vAlign w:val="center"/>
          </w:tcPr>
          <w:p>
            <w:pPr>
              <w:spacing w:after="0"/>
            </w:pPr>
            <w:r>
              <w:rPr>
                <w:rFonts w:ascii="Calibri" w:hAnsi="Calibri"/>
                <w:color w:val="000000"/>
                <w:sz w:val="18"/>
              </w:rPr>
              <w:t>Do not combine blindly</w:t>
            </w:r>
          </w:p>
        </w:tc>
      </w:tr>
    </w:tbl>
    <w:p>
      <w:pPr>
        <w:spacing w:after="0"/>
      </w:pPr>
    </w:p>
    <w:p>
      <w:r>
        <w:t>Scores should be compared as decision evidence rather than as universal physical quantities: each score is a composite of recovery and penalty terms. The direction and magnitude nevertheless support the same operational conclusion because SEP combines a higher objective score with a more favourable recovery/collateral balance.</w:t>
      </w:r>
    </w:p>
    <w:p>
      <w:pPr>
        <w:pStyle w:val="Heading1"/>
      </w:pPr>
      <w:r>
        <w:t>5. Conclusions</w:t>
      </w:r>
    </w:p>
    <w:p>
      <w:pPr>
        <w:pStyle w:val="ListBullet"/>
      </w:pPr>
      <w:r>
        <w:t>The four-fold design is materially more defensible than four independent ten-galaxy optimisations because every galaxy contributes to validation while each parameter set is trained on 75% of the calibration sample.</w:t>
      </w:r>
    </w:p>
    <w:p>
      <w:pPr>
        <w:pStyle w:val="ListBullet"/>
      </w:pPr>
      <w:r>
        <w:t>SEP has produced a credible, cross-validated parameter set for application to the full sample and should be treated as the baseline method.</w:t>
      </w:r>
    </w:p>
    <w:p>
      <w:pPr>
        <w:pStyle w:val="ListBullet"/>
      </w:pPr>
      <w:r>
        <w:t>The MTObjects recovery follow-up solved the objective-function pathology: an empty mask is no longer considered a satisfactory result when toys are present.</w:t>
      </w:r>
    </w:p>
    <w:p>
      <w:pPr>
        <w:pStyle w:val="ListBullet"/>
      </w:pPr>
      <w:r>
        <w:t>MTObjects now demonstrates genuine toy recovery, but its low precision and high false-positive area show that recovery is purchased at substantial cost to unaffected pixels.</w:t>
      </w:r>
    </w:p>
    <w:p>
      <w:pPr>
        <w:pStyle w:val="ListBullet"/>
      </w:pPr>
      <w:r>
        <w:t>Neither optimisation should be interpreted as proof of perfect foreground removal on real contaminants; injected toys approximate foreground sources but cannot span all morphologies, surface-brightness contrasts and galaxy structures.</w:t>
      </w:r>
    </w:p>
    <w:p>
      <w:r>
        <w:br w:type="page"/>
      </w:r>
    </w:p>
    <w:p>
      <w:pPr>
        <w:pStyle w:val="Heading1"/>
      </w:pPr>
      <w:r>
        <w:t>6. Recommended next steps</w:t>
      </w:r>
    </w:p>
    <w:p>
      <w:pPr>
        <w:pStyle w:val="ListBullet"/>
      </w:pPr>
      <w:r>
        <w:t>Adopt SEP as the primary production mask and review the 40 filenames marked '_clean' first, because these are the calibration galaxies and therefore the most important check for overfitting or visually implausible masks.</w:t>
      </w:r>
    </w:p>
    <w:p>
      <w:pPr>
        <w:pStyle w:val="ListBullet"/>
      </w:pPr>
      <w:r>
        <w:t>Retain MTObjects outputs for comparison, targeted difficult cases and method-agreement analysis, rather than replacing SEP across all galaxies.</w:t>
      </w:r>
    </w:p>
    <w:p>
      <w:pPr>
        <w:pStyle w:val="ListBullet"/>
      </w:pPr>
      <w:r>
        <w:t>For a further MTObjects run, increase the penalty on non-toy masked pixels or impose a stricter mean-mask constraint, while preserving the explicit non-detection penalty and minimum recovery gates.</w:t>
      </w:r>
    </w:p>
    <w:p>
      <w:pPr>
        <w:pStyle w:val="ListBullet"/>
      </w:pPr>
      <w:r>
        <w:t>Report both toy-level detection and pixel-level precision/recall. Toy detection alone can look satisfactory even when the mask includes a large amount of unrelated image area.</w:t>
      </w:r>
    </w:p>
    <w:p>
      <w:pPr>
        <w:pStyle w:val="ListBullet"/>
      </w:pPr>
      <w:r>
        <w:t>Before final scientific use, visually classify failures and compare the original versus processed isophotes and bar-major profiles to ensure foreground masking has not altered the galaxy structure being measured.</w:t>
      </w:r>
    </w:p>
    <w:p>
      <w:pPr>
        <w:pStyle w:val="Heading1"/>
      </w:pPr>
      <w:r>
        <w:t>7. Current application status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E5"/>
          </w:tcPr>
          <w:p>
            <w:pPr>
              <w:spacing w:after="60"/>
            </w:pPr>
            <w:r>
              <w:rPr>
                <w:rFonts w:ascii="Calibri" w:hAnsi="Calibri"/>
                <w:b/>
                <w:color w:val="1F4D78"/>
                <w:sz w:val="22"/>
              </w:rPr>
              <w:t>Status at document preparation</w:t>
            </w:r>
          </w:p>
          <w:p>
            <w:pPr>
              <w:spacing w:after="0"/>
            </w:pPr>
            <w:r>
              <w:rPr>
                <w:rFonts w:ascii="Calibri" w:hAnsi="Calibri"/>
                <w:color w:val="000000"/>
                <w:sz w:val="21"/>
              </w:rPr>
              <w:t>The optimisation results above are complete. The earlier SEP 182-galaxy application completed successfully. The newly aligned eight-panel MTObjects batch created 181 of 182 reports; NGC3185 failed because no valid toy-injection candidates were available inside its investigated galaxy area. The visible launcher therefore stopped before starting the corresponding aligned SEP batch. Consequently, conclusions about the optimisation are final, but the newest aligned 182-galaxy comparative PNG set is not yet complete.</w:t>
            </w:r>
          </w:p>
        </w:tc>
      </w:tr>
    </w:tbl>
    <w:p>
      <w:pPr>
        <w:spacing w:after="0"/>
      </w:pPr>
    </w:p>
    <w:p>
      <w:r>
        <w:t>This application failure is a toy-placement edge case, not evidence that the selected MTObjects parameters failed on NGC3185. It should be handled separately by allowing a controlled injection fallback or explicitly producing a no-toy diagnostic for that galaxy, followed by resumption of both batch stages.</w:t>
      </w:r>
    </w:p>
    <w:p>
      <w:pPr>
        <w:pStyle w:val="Heading1"/>
      </w:pPr>
      <w:r>
        <w:t>8. Result provenance</w:t>
      </w:r>
    </w:p>
    <w:p>
      <w:r>
        <w:t>MTObjects final selection: mtobjects toy recovery followup\20260816_063455\mtobjects_toy_cross_validation_best.json. SEP final parameters were reconstructed from the preserved optimisation workbook and fold results after the original run directory was removed. Detailed numerical records are retained in documentation\Foreground Masking Optimisation Results.xlsx.</w:t>
      </w:r>
    </w:p>
    <w:p>
      <w:r>
        <w:t>Metric values are rounded for readability. Full-precision values remain in the JSON, CSV and workbook artefacts.</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7"/>
      </w:rPr>
      <w:t>SEP and MTObjects optimisation summary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TOY OBJECTS FOREGROUND MASKING | FINAL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 and MTObjects Toy Objects Optimisation Summary and Conclusions</dc:title>
  <dc:subject>Four-fold cross-validation results and scientific interpretation</dc:subject>
  <dc:creator>UCLAN MSc Research</dc:creator>
  <cp:keywords>SEP, MTObjects, Toy Objects, optimisation, cross-validation, foreground masking</cp:keywords>
  <dc:description>generated by python-docx</dc:description>
  <cp:lastModifiedBy/>
  <cp:revision>1</cp:revision>
  <dcterms:created xsi:type="dcterms:W3CDTF">2013-12-23T23:15:00Z</dcterms:created>
  <dcterms:modified xsi:type="dcterms:W3CDTF">2013-12-23T23:15:00Z</dcterms:modified>
  <cp:category/>
</cp:coreProperties>
</file>