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20"/>
        </w:rPr>
        <w:t>FOREGROUND MASKING RESEARCH</w:t>
      </w:r>
    </w:p>
    <w:p>
      <w:pPr>
        <w:pStyle w:val="Title"/>
        <w:spacing w:after="80"/>
      </w:pPr>
      <w:r>
        <w:t>Toy Objects Results: SEP versus MTObjects</w:t>
      </w:r>
    </w:p>
    <w:p>
      <w:r>
        <w:rPr>
          <w:sz w:val="26"/>
        </w:rPr>
        <w:t>Matched 182-galaxy comparison using standard injected toys</w:t>
      </w:r>
    </w:p>
    <w:p>
      <w:r>
        <w:t>Prepared: 24 August 2026</w:t>
        <w:br/>
        <w:t>Status: Results, interpretation and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</w:tcPr>
          <w:p>
            <w:r>
              <w:rPr>
                <w:b/>
                <w:color w:val="0B2545"/>
              </w:rPr>
              <w:t xml:space="preserve">Executive conclusion: </w:t>
            </w:r>
            <w:r>
              <w:t>SEP recovered more toy pixels and achieved higher F1 at essentially the same mean masked area. MTObjects had a nearly identical whole-toy detection rate and a lower extreme masked-area tail. Prefer SEP for recovery, with a per-image area guardrail and morphology review; use MTObjects as the conservative fallback for high-risk galaxies.</w:t>
            </w:r>
          </w:p>
        </w:tc>
      </w:tr>
    </w:tbl>
    <w:p/>
    <w:p>
      <w:pPr>
        <w:pStyle w:val="Heading1"/>
        <w:keepNext/>
      </w:pPr>
      <w:r>
        <w:t>1. Comparison basis</w:t>
      </w:r>
    </w:p>
    <w:p>
      <w:r>
        <w:t>All direct conclusions use the matched 182-galaxy standard-toy comparison. Each algorithm received the same science image, six toys, placement seed 202608299 and truth mask. Both batches succeeded for all 182 galaxies.</w:t>
      </w:r>
    </w:p>
    <w:p>
      <w:pPr>
        <w:pStyle w:val="Heading1"/>
        <w:keepNext/>
      </w:pPr>
      <w:r>
        <w:t>2. Population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888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Metric</w:t>
            </w:r>
          </w:p>
        </w:tc>
        <w:tc>
          <w:tcPr>
            <w:tcW w:type="dxa" w:w="1584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SEP</w:t>
            </w:r>
          </w:p>
        </w:tc>
        <w:tc>
          <w:tcPr>
            <w:tcW w:type="dxa" w:w="18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MTObjects</w:t>
            </w:r>
          </w:p>
        </w:tc>
        <w:tc>
          <w:tcPr>
            <w:tcW w:type="dxa" w:w="18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SEP - MTO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8"/>
              </w:rPr>
              <w:t>Mean masked image area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Calibri" w:hAnsi="Calibri"/>
                <w:sz w:val="18"/>
              </w:rPr>
              <w:t>8.82%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8.89%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-0.07 pp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8"/>
              </w:rPr>
              <w:t>Median masked image area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Calibri" w:hAnsi="Calibri"/>
                <w:sz w:val="18"/>
              </w:rPr>
              <w:t>8.36%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8.77%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-0.41 pp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8"/>
              </w:rPr>
              <w:t>Mean toy-pixel recall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Calibri" w:hAnsi="Calibri"/>
                <w:sz w:val="18"/>
              </w:rPr>
              <w:t>70.57%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62.42%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+8.15 pp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8"/>
              </w:rPr>
              <w:t>Median toy-pixel recall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Calibri" w:hAnsi="Calibri"/>
                <w:sz w:val="18"/>
              </w:rPr>
              <w:t>82.88%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63.82%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+19.06 pp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8"/>
              </w:rPr>
              <w:t>Mean toy detection rate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Calibri" w:hAnsi="Calibri"/>
                <w:sz w:val="18"/>
              </w:rPr>
              <w:t>68.68%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68.96%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-0.27 pp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8"/>
              </w:rPr>
              <w:t>Mean per-toy recall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Calibri" w:hAnsi="Calibri"/>
                <w:sz w:val="18"/>
              </w:rPr>
              <w:t>68.86%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67.78%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+1.08 pp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8"/>
              </w:rPr>
              <w:t>Mean toy-associated precision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Calibri" w:hAnsi="Calibri"/>
                <w:sz w:val="18"/>
              </w:rPr>
              <w:t>0.700%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0.560%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+0.140 pp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8"/>
              </w:rPr>
              <w:t>Mean toy F1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Calibri" w:hAnsi="Calibri"/>
                <w:sz w:val="18"/>
              </w:rPr>
              <w:t>1.381%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1.107%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+0.274 pp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8"/>
              </w:rPr>
              <w:t>Mean non-toy mask fraction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Calibri" w:hAnsi="Calibri"/>
                <w:sz w:val="18"/>
              </w:rPr>
              <w:t>8.77%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8.85%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18"/>
              </w:rPr>
              <w:t>-0.07 pp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0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y_comparison_headline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0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Mean recovery, mask extent and overlap-quality metrics across 182 matched galaxies.</w:t>
      </w:r>
    </w:p>
    <w:p>
      <w:pPr>
        <w:pStyle w:val="Heading1"/>
        <w:keepNext/>
      </w:pPr>
      <w:r>
        <w:t>3. Paired galaxy-level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816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Paired outcome</w:t>
            </w:r>
          </w:p>
        </w:tc>
        <w:tc>
          <w:tcPr>
            <w:tcW w:type="dxa" w:w="1512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Galaxies</w:t>
            </w:r>
          </w:p>
        </w:tc>
        <w:tc>
          <w:tcPr>
            <w:tcW w:type="dxa" w:w="3744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Interpretation</w:t>
            </w:r>
          </w:p>
        </w:tc>
      </w:tr>
      <w:tr>
        <w:tc>
          <w:tcPr>
            <w:tcW w:type="dxa" w:w="3816"/>
            <w:vAlign w:val="center"/>
          </w:tcPr>
          <w:p>
            <w:r>
              <w:rPr>
                <w:rFonts w:ascii="Calibri" w:hAnsi="Calibri"/>
                <w:sz w:val="18"/>
              </w:rPr>
              <w:t>SEP higher toy-pixel recall</w:t>
            </w:r>
          </w:p>
        </w:tc>
        <w:tc>
          <w:tcPr>
            <w:tcW w:type="dxa" w:w="1512"/>
            <w:vAlign w:val="center"/>
          </w:tcPr>
          <w:p>
            <w:r>
              <w:rPr>
                <w:rFonts w:ascii="Calibri" w:hAnsi="Calibri"/>
                <w:sz w:val="18"/>
              </w:rPr>
              <w:t>121 / 182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/>
                <w:sz w:val="18"/>
              </w:rPr>
              <w:t>SEP advantage in two-thirds of the sample.</w:t>
            </w:r>
          </w:p>
        </w:tc>
      </w:tr>
      <w:tr>
        <w:tc>
          <w:tcPr>
            <w:tcW w:type="dxa" w:w="3816"/>
            <w:vAlign w:val="center"/>
          </w:tcPr>
          <w:p>
            <w:r>
              <w:rPr>
                <w:rFonts w:ascii="Calibri" w:hAnsi="Calibri"/>
                <w:sz w:val="18"/>
              </w:rPr>
              <w:t>MTObjects higher toy-pixel recall</w:t>
            </w:r>
          </w:p>
        </w:tc>
        <w:tc>
          <w:tcPr>
            <w:tcW w:type="dxa" w:w="1512"/>
            <w:vAlign w:val="center"/>
          </w:tcPr>
          <w:p>
            <w:r>
              <w:rPr>
                <w:rFonts w:ascii="Calibri" w:hAnsi="Calibri"/>
                <w:sz w:val="18"/>
              </w:rPr>
              <w:t>57 / 182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/>
                <w:sz w:val="18"/>
              </w:rPr>
              <w:t>Four exact ties.</w:t>
            </w:r>
          </w:p>
        </w:tc>
      </w:tr>
      <w:tr>
        <w:tc>
          <w:tcPr>
            <w:tcW w:type="dxa" w:w="3816"/>
            <w:vAlign w:val="center"/>
          </w:tcPr>
          <w:p>
            <w:r>
              <w:rPr>
                <w:rFonts w:ascii="Calibri" w:hAnsi="Calibri"/>
                <w:sz w:val="18"/>
              </w:rPr>
              <w:t>SEP masks less total area</w:t>
            </w:r>
          </w:p>
        </w:tc>
        <w:tc>
          <w:tcPr>
            <w:tcW w:type="dxa" w:w="1512"/>
            <w:vAlign w:val="center"/>
          </w:tcPr>
          <w:p>
            <w:r>
              <w:rPr>
                <w:rFonts w:ascii="Calibri" w:hAnsi="Calibri"/>
                <w:sz w:val="18"/>
              </w:rPr>
              <w:t>121 / 182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/>
                <w:sz w:val="18"/>
              </w:rPr>
              <w:t>SEP is not systematically more aggressive in the typical case.</w:t>
            </w:r>
          </w:p>
        </w:tc>
      </w:tr>
      <w:tr>
        <w:tc>
          <w:tcPr>
            <w:tcW w:type="dxa" w:w="3816"/>
            <w:vAlign w:val="center"/>
          </w:tcPr>
          <w:p>
            <w:r>
              <w:rPr>
                <w:rFonts w:ascii="Calibri" w:hAnsi="Calibri"/>
                <w:sz w:val="18"/>
              </w:rPr>
              <w:t>MTObjects masks less total area</w:t>
            </w:r>
          </w:p>
        </w:tc>
        <w:tc>
          <w:tcPr>
            <w:tcW w:type="dxa" w:w="1512"/>
            <w:vAlign w:val="center"/>
          </w:tcPr>
          <w:p>
            <w:r>
              <w:rPr>
                <w:rFonts w:ascii="Calibri" w:hAnsi="Calibri"/>
                <w:sz w:val="18"/>
              </w:rPr>
              <w:t>61 / 182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/>
                <w:sz w:val="18"/>
              </w:rPr>
              <w:t>No ties.</w:t>
            </w:r>
          </w:p>
        </w:tc>
      </w:tr>
      <w:tr>
        <w:tc>
          <w:tcPr>
            <w:tcW w:type="dxa" w:w="3816"/>
            <w:vAlign w:val="center"/>
          </w:tcPr>
          <w:p>
            <w:r>
              <w:rPr>
                <w:rFonts w:ascii="Calibri" w:hAnsi="Calibri"/>
                <w:sz w:val="18"/>
              </w:rPr>
              <w:t>SEP higher toy F1</w:t>
            </w:r>
          </w:p>
        </w:tc>
        <w:tc>
          <w:tcPr>
            <w:tcW w:type="dxa" w:w="1512"/>
            <w:vAlign w:val="center"/>
          </w:tcPr>
          <w:p>
            <w:r>
              <w:rPr>
                <w:rFonts w:ascii="Calibri" w:hAnsi="Calibri"/>
                <w:sz w:val="18"/>
              </w:rPr>
              <w:t>134 / 182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/>
                <w:sz w:val="18"/>
              </w:rPr>
              <w:t>Better recovery/precision balance more often.</w:t>
            </w:r>
          </w:p>
        </w:tc>
      </w:tr>
      <w:tr>
        <w:tc>
          <w:tcPr>
            <w:tcW w:type="dxa" w:w="3816"/>
            <w:vAlign w:val="center"/>
          </w:tcPr>
          <w:p>
            <w:r>
              <w:rPr>
                <w:rFonts w:ascii="Calibri" w:hAnsi="Calibri"/>
                <w:sz w:val="18"/>
              </w:rPr>
              <w:t>MTObjects higher toy F1</w:t>
            </w:r>
          </w:p>
        </w:tc>
        <w:tc>
          <w:tcPr>
            <w:tcW w:type="dxa" w:w="1512"/>
            <w:vAlign w:val="center"/>
          </w:tcPr>
          <w:p>
            <w:r>
              <w:rPr>
                <w:rFonts w:ascii="Calibri" w:hAnsi="Calibri"/>
                <w:sz w:val="18"/>
              </w:rPr>
              <w:t>47 / 182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/>
                <w:sz w:val="18"/>
              </w:rPr>
              <w:t>One exact tie.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5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y_comparison_paired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Each point is one galaxy; the dashed diagonal marks equal performance.</w:t>
      </w:r>
    </w:p>
    <w:p>
      <w:pPr>
        <w:pStyle w:val="Heading1"/>
        <w:keepNext/>
      </w:pPr>
      <w:r>
        <w:t>4. Distribution and outlier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Masked-area statistic</w:t>
            </w:r>
          </w:p>
        </w:tc>
        <w:tc>
          <w:tcPr>
            <w:tcW w:type="dxa" w:w="2376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SEP</w:t>
            </w:r>
          </w:p>
        </w:tc>
        <w:tc>
          <w:tcPr>
            <w:tcW w:type="dxa" w:w="2376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MTObjects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10th percentile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4.91%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6.01%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25th percentile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6.30%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6.90%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Median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8.36%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8.77%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75th percentile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10.35%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10.27%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90th percentile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13.23%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11.94%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95th percentile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15.14%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12.68%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Maximum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33.26%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19.02%</w:t>
            </w:r>
          </w:p>
        </w:tc>
      </w:tr>
    </w:tbl>
    <w:p/>
    <w:p>
      <w:r>
        <w:t>Average mask areas are almost identical, but SEP has a heavier upper tail. The final sample includes galaxies unlike the 40 calibration cases, so the tuning-era 15% cap does not ensure every production image remains below 15%. SEP outputs above the threshold require automatic flagging and review.</w:t>
      </w:r>
    </w:p>
    <w:p>
      <w:pPr>
        <w:pStyle w:val="Heading1"/>
        <w:keepNext/>
      </w:pPr>
      <w:r>
        <w:t>5. Calibration and generalisation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Selected-candidate metric</w:t>
            </w:r>
          </w:p>
        </w:tc>
        <w:tc>
          <w:tcPr>
            <w:tcW w:type="dxa" w:w="2376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SEP (fold 4)</w:t>
            </w:r>
          </w:p>
        </w:tc>
        <w:tc>
          <w:tcPr>
            <w:tcW w:type="dxa" w:w="2376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MTObjects (fold 3)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Held-out mean toy recall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40.14%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52.55%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Held-out toy detection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40.00%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55.00%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Held-out mean masked fraction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6.20%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8.82%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All-40 mean toy recall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45.38%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50.70%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All-40 toy detection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45.42%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53.33%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sz w:val="18"/>
              </w:rPr>
              <w:t>All-40 mean masked fraction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5.71%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Calibri" w:hAnsi="Calibri"/>
                <w:sz w:val="18"/>
              </w:rPr>
              <w:t>9.07%</w:t>
            </w:r>
          </w:p>
        </w:tc>
      </w:tr>
    </w:tbl>
    <w:p/>
    <w:p>
      <w:r>
        <w:t>These optimisation figures support reproducibility, not paired comparison: tuning used different injection seeds and incremental-mask scoring. The matched 182-galaxy results are the appropriate head-to-head evidence.</w:t>
      </w:r>
    </w:p>
    <w:p>
      <w:r>
        <w:br w:type="page"/>
      </w:r>
    </w:p>
    <w:p>
      <w:pPr>
        <w:pStyle w:val="Heading1"/>
        <w:keepNext/>
      </w:pPr>
      <w:r>
        <w:t>6. Visual comparison: NGC3627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841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C3627_MTO_left_SEP_right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84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NGC3627 matched diagnostic: MTObjects left, SEP right; dashed black divider between methods.</w:t>
      </w:r>
    </w:p>
    <w:p>
      <w:r>
        <w:t>The paired layout exposes the trade-off directly: compare identical toy boundaries, total mask extent, recovery outlines, isophote preservation and profile bridges before accepting a method for a galaxy.</w:t>
      </w:r>
    </w:p>
    <w:p>
      <w:pPr>
        <w:pStyle w:val="Heading1"/>
        <w:keepNext/>
      </w:pPr>
      <w:r>
        <w:t>7. Interpretation</w:t>
      </w:r>
    </w:p>
    <w:p>
      <w:pPr>
        <w:pStyle w:val="ListBullet"/>
      </w:pPr>
      <w:r>
        <w:t>SEP has stronger average toy-pixel recovery: +8.15 percentage points, with a larger median advantage.</w:t>
      </w:r>
    </w:p>
    <w:p>
      <w:pPr>
        <w:pStyle w:val="ListBullet"/>
      </w:pPr>
      <w:r>
        <w:t>Whole-toy detection is effectively tied. SEP tends to recover more of each toy rather than detect more toys.</w:t>
      </w:r>
    </w:p>
    <w:p>
      <w:pPr>
        <w:pStyle w:val="ListBullet"/>
      </w:pPr>
      <w:r>
        <w:t>Mean masking is effectively tied and SEP masks less area in 121 galaxies; however, SEP has the more severe high-mask outliers.</w:t>
      </w:r>
    </w:p>
    <w:p>
      <w:pPr>
        <w:pStyle w:val="ListBullet"/>
      </w:pPr>
      <w:r>
        <w:t>Toy-associated precision below 1% does not mean all other masking is wrong: real pre-existing foreground objects are absent from the synthetic truth. It does show that toy overlap alone cannot measure scientific selectivity.</w:t>
      </w:r>
    </w:p>
    <w:p>
      <w:pPr>
        <w:pStyle w:val="ListBullet"/>
      </w:pPr>
      <w:r>
        <w:t>Toy Objects test synthetic recovery, not accuracy for real foreground objects without labelled real-object validation.</w:t>
      </w:r>
    </w:p>
    <w:p>
      <w:pPr>
        <w:pStyle w:val="Heading1"/>
        <w:keepNext/>
      </w:pPr>
      <w:r>
        <w:t>8. Recommendation</w:t>
      </w:r>
    </w:p>
    <w:p>
      <w:pPr>
        <w:pStyle w:val="Heading2"/>
        <w:keepNext/>
      </w:pPr>
      <w:r>
        <w:t>Primary recommendation</w:t>
      </w:r>
    </w:p>
    <w:p>
      <w:r>
        <w:t>Use SEP as the preferred Toy Objects configuration when maximal recovery is the main requirement: it provides higher recall and F1 without increasing mean masked area.</w:t>
      </w:r>
    </w:p>
    <w:p>
      <w:pPr>
        <w:pStyle w:val="Heading2"/>
        <w:keepNext/>
      </w:pPr>
      <w:r>
        <w:t>Required SEP safeguards</w:t>
      </w:r>
    </w:p>
    <w:p>
      <w:pPr>
        <w:pStyle w:val="ListBullet"/>
      </w:pPr>
      <w:r>
        <w:t>Flag masked area above 15%; treat above 20% as automatic manual review.</w:t>
      </w:r>
    </w:p>
    <w:p>
      <w:pPr>
        <w:pStyle w:val="ListBullet"/>
      </w:pPr>
      <w:r>
        <w:t>Review large coherent components resembling arms, rings, bars or extended galaxy structure.</w:t>
      </w:r>
    </w:p>
    <w:p>
      <w:pPr>
        <w:pStyle w:val="ListBullet"/>
      </w:pPr>
      <w:r>
        <w:t>Retain the eight-panel diagnostic and inspect processed isophotes and bar-major profiles.</w:t>
      </w:r>
    </w:p>
    <w:p>
      <w:pPr>
        <w:pStyle w:val="ListBullet"/>
      </w:pPr>
      <w:r>
        <w:t>Record both total mask area and target recovery; neither is sufficient alone.</w:t>
      </w:r>
    </w:p>
    <w:p>
      <w:pPr>
        <w:pStyle w:val="Heading2"/>
        <w:keepNext/>
      </w:pPr>
      <w:r>
        <w:t>When to prefer MTObjects</w:t>
      </w:r>
    </w:p>
    <w:p>
      <w:r>
        <w:t>Use MTObjects when SEP enters the high-mask tail, coherent morphology appears threatened, or lower worst-case mask extent is more important than maximum pixel recall.</w:t>
      </w:r>
    </w:p>
    <w:p>
      <w:pPr>
        <w:pStyle w:val="Heading1"/>
        <w:keepNext/>
      </w:pPr>
      <w:r>
        <w:t>9. Next improvements</w:t>
      </w:r>
    </w:p>
    <w:p>
      <w:pPr>
        <w:pStyle w:val="ListNumber"/>
      </w:pPr>
      <w:r>
        <w:t>Repeat cross-validation with identical toy placements and seeds for both algorithms.</w:t>
      </w:r>
    </w:p>
    <w:p>
      <w:pPr>
        <w:pStyle w:val="ListNumber"/>
      </w:pPr>
      <w:r>
        <w:t>Add morphology-protection terms for azimuthal span, annular coherence and low-frequency galaxy structure.</w:t>
      </w:r>
    </w:p>
    <w:p>
      <w:pPr>
        <w:pStyle w:val="ListNumber"/>
      </w:pPr>
      <w:r>
        <w:t>Use a constrained Pareto objective over recovery, masked area and profile/isophote preservation.</w:t>
      </w:r>
    </w:p>
    <w:p>
      <w:pPr>
        <w:pStyle w:val="ListNumber"/>
      </w:pPr>
      <w:r>
        <w:t>Create a manually labelled real-foreground subset for real-object recall and false-mask assessment.</w:t>
      </w:r>
    </w:p>
    <w:p>
      <w:pPr>
        <w:pStyle w:val="ListNumber"/>
      </w:pPr>
      <w:r>
        <w:t>Test a guarded hybrid: SEP first, with MTObjects fallback for SEP high-mask or morphology-risk cases.</w:t>
      </w:r>
    </w:p>
    <w:p>
      <w:pPr>
        <w:pStyle w:val="Heading1"/>
        <w:keepNext/>
      </w:pPr>
      <w:r>
        <w:t>10. Outputs and sources</w:t>
      </w:r>
    </w:p>
    <w:p>
      <w:r>
        <w:t>Statistical workbook: D:\Dropbox\Public Documents\UCLAN\MSc Research\Remove foreground objects\documentation\Toy Objects SEP vs MTObjects Statistical Comparison.xlsx</w:t>
        <w:br/>
        <w:t>Visual comparison: D:\Dropbox\Public Documents\UCLAN\MSc Research\Remove foreground objects\Toy Objects comparison\20260821_104129</w:t>
        <w:br/>
        <w:t>SEP optimisation: D:\Dropbox\Public Documents\UCLAN\MSc Research\Remove foreground objects\sep toy cross validation\20260817_161404</w:t>
        <w:br/>
        <w:t>MTObjects optimisation: D:\Dropbox\Public Documents\UCLAN\MSc Research\Remove foreground objects\mtobjects toy recovery followup\20260816_063455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5555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