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E74B5"/>
          <w:sz w:val="20"/>
        </w:rPr>
        <w:t>FOREGROUND MASKING RESEARCH</w:t>
      </w:r>
    </w:p>
    <w:p>
      <w:pPr>
        <w:pStyle w:val="Title"/>
        <w:spacing w:after="80"/>
      </w:pPr>
      <w:r>
        <w:t>Toy Objects Foreground-Masking Methodology</w:t>
      </w:r>
    </w:p>
    <w:p>
      <w:r>
        <w:rPr>
          <w:sz w:val="26"/>
        </w:rPr>
        <w:t>Four-fold optimisation and matched 182-galaxy evaluation of SEP and MTObjects</w:t>
      </w:r>
    </w:p>
    <w:p>
      <w:r>
        <w:t>Prepared: 24 August 2026</w:t>
        <w:br/>
        <w:t>Status: Definitive methodology record</w:t>
      </w:r>
    </w:p>
    <w:tbl>
      <w:tblPr>
        <w:tblW w:type="auto" w:w="0"/>
        <w:jc w:val="center"/>
        <w:tblLook w:firstColumn="1" w:firstRow="1" w:lastColumn="0" w:lastRow="0" w:noHBand="0" w:noVBand="1" w:val="04A0"/>
      </w:tblPr>
      <w:tblGrid>
        <w:gridCol w:w="9360"/>
      </w:tblGrid>
      <w:tr>
        <w:tc>
          <w:tcPr>
            <w:tcW w:type="dxa" w:w="9360"/>
            <w:shd w:fill="E8EEF5"/>
          </w:tcPr>
          <w:p>
            <w:r>
              <w:rPr>
                <w:b/>
                <w:color w:val="0B2545"/>
              </w:rPr>
              <w:t xml:space="preserve">Scope: </w:t>
            </w:r>
            <w:r>
              <w:t>This document describes only the Toy Objects identification experiment. SEP and MTObjects operate on original science images. Spike Gate residual-image identification is a separate study and is not used here.</w:t>
            </w:r>
          </w:p>
        </w:tc>
      </w:tr>
    </w:tbl>
    <w:p/>
    <w:p>
      <w:pPr>
        <w:pStyle w:val="Heading1"/>
        <w:keepNext/>
      </w:pPr>
      <w:r>
        <w:t>1. Research question</w:t>
      </w:r>
    </w:p>
    <w:p>
      <w:r>
        <w:t>The experiment asks how effectively SEP and MTObjects can identify and mask known synthetic foreground-like sources while limiting unnecessary masking of the underlying science image. Synthetic truth provides an objective recovery target that is unavailable for real, unlabelled foreground objects.</w:t>
      </w:r>
    </w:p>
    <w:p>
      <w:pPr>
        <w:pStyle w:val="Heading1"/>
        <w:keepNext/>
      </w:pPr>
      <w:r>
        <w:t>2. Evidence hierarchy</w:t>
      </w:r>
    </w:p>
    <w:p>
      <w:pPr>
        <w:pStyle w:val="ListBullet"/>
      </w:pPr>
      <w:r>
        <w:t>Optimisation evidence: four folds of the same 40 low-foreground calibration galaxies; each fold trains on 30 and validates on the held-out 10.</w:t>
      </w:r>
    </w:p>
    <w:p>
      <w:pPr>
        <w:pStyle w:val="ListBullet"/>
      </w:pPr>
      <w:r>
        <w:t>Selection evidence: each fold winner is evaluated on its method-specific common 40-galaxy injection set, and the best candidate is selected.</w:t>
      </w:r>
    </w:p>
    <w:p>
      <w:pPr>
        <w:pStyle w:val="ListBullet"/>
      </w:pPr>
      <w:r>
        <w:t>Direct method comparison: both selected algorithms are applied to all 182 galaxies using identical standard toy placements and truth masks. This matched evaluation is the primary basis for SEP-versus-MTObjects conclusions.</w:t>
      </w:r>
    </w:p>
    <w:p>
      <w:pPr>
        <w:pStyle w:val="Heading2"/>
        <w:keepNext/>
      </w:pPr>
      <w:r>
        <w:t>Important comparability note</w:t>
      </w:r>
    </w:p>
    <w:p>
      <w:r>
        <w:t>The SEP and MTObjects optimisation runs used the same galaxies and fold membership but different optimisation evaluation seeds (SEP 202608199; MTObjects 202608299). Their cross-validation scores therefore describe method-specific tuning and are not a strictly paired head-to-head test. The final 182-galaxy comparison corrects this by reconstructing the same six toys per galaxy with seed 202608299 for both algorithms.</w:t>
      </w:r>
    </w:p>
    <w:p>
      <w:pPr>
        <w:pStyle w:val="Heading1"/>
        <w:keepNext/>
      </w:pPr>
      <w:r>
        <w:t>3. Galaxy sample and cross-validation</w:t>
      </w:r>
    </w:p>
    <w:tbl>
      <w:tblPr>
        <w:tblStyle w:val="TableGrid"/>
        <w:tblW w:type="auto" w:w="0"/>
        <w:jc w:val="center"/>
        <w:tblLook w:firstColumn="1" w:firstRow="1" w:lastColumn="0" w:lastRow="0" w:noHBand="0" w:noVBand="1" w:val="04A0"/>
      </w:tblPr>
      <w:tblGrid>
        <w:gridCol w:w="4680"/>
        <w:gridCol w:w="4680"/>
      </w:tblGrid>
      <w:tr>
        <w:tc>
          <w:tcPr>
            <w:tcW w:type="dxa" w:w="2448"/>
            <w:vAlign w:val="center"/>
            <w:shd w:fill="F2F4F7"/>
          </w:tcPr>
          <w:p>
            <w:r>
              <w:rPr>
                <w:rFonts w:ascii="Calibri" w:hAnsi="Calibri"/>
                <w:b/>
                <w:color w:val="0B2545"/>
                <w:sz w:val="18"/>
              </w:rPr>
              <w:t>Design element</w:t>
            </w:r>
          </w:p>
        </w:tc>
        <w:tc>
          <w:tcPr>
            <w:tcW w:type="dxa" w:w="6624"/>
            <w:vAlign w:val="center"/>
            <w:shd w:fill="F2F4F7"/>
          </w:tcPr>
          <w:p>
            <w:r>
              <w:rPr>
                <w:rFonts w:ascii="Calibri" w:hAnsi="Calibri"/>
                <w:b/>
                <w:color w:val="0B2545"/>
                <w:sz w:val="18"/>
              </w:rPr>
              <w:t>Implementation</w:t>
            </w:r>
          </w:p>
        </w:tc>
      </w:tr>
      <w:tr>
        <w:tc>
          <w:tcPr>
            <w:tcW w:type="dxa" w:w="2448"/>
            <w:vAlign w:val="center"/>
          </w:tcPr>
          <w:p>
            <w:r>
              <w:rPr>
                <w:rFonts w:ascii="Calibri" w:hAnsi="Calibri"/>
                <w:sz w:val="18"/>
              </w:rPr>
              <w:t>Calibration sample</w:t>
            </w:r>
          </w:p>
        </w:tc>
        <w:tc>
          <w:tcPr>
            <w:tcW w:type="dxa" w:w="6624"/>
            <w:vAlign w:val="center"/>
          </w:tcPr>
          <w:p>
            <w:r>
              <w:rPr>
                <w:rFonts w:ascii="Calibri" w:hAnsi="Calibri"/>
                <w:sz w:val="18"/>
              </w:rPr>
              <w:t>40 galaxies in CleanGalaxies.txt, selected for low foreground contamination.</w:t>
            </w:r>
          </w:p>
        </w:tc>
      </w:tr>
      <w:tr>
        <w:tc>
          <w:tcPr>
            <w:tcW w:type="dxa" w:w="2448"/>
            <w:vAlign w:val="center"/>
          </w:tcPr>
          <w:p>
            <w:r>
              <w:rPr>
                <w:rFonts w:ascii="Calibri" w:hAnsi="Calibri"/>
                <w:sz w:val="18"/>
              </w:rPr>
              <w:t>Fold design</w:t>
            </w:r>
          </w:p>
        </w:tc>
        <w:tc>
          <w:tcPr>
            <w:tcW w:type="dxa" w:w="6624"/>
            <w:vAlign w:val="center"/>
          </w:tcPr>
          <w:p>
            <w:r>
              <w:rPr>
                <w:rFonts w:ascii="Calibri" w:hAnsi="Calibri"/>
                <w:sz w:val="18"/>
              </w:rPr>
              <w:t>Four fixed groups of 10: 30 training and 10 held-out validation galaxies per fold.</w:t>
            </w:r>
          </w:p>
        </w:tc>
      </w:tr>
      <w:tr>
        <w:tc>
          <w:tcPr>
            <w:tcW w:type="dxa" w:w="2448"/>
            <w:vAlign w:val="center"/>
          </w:tcPr>
          <w:p>
            <w:r>
              <w:rPr>
                <w:rFonts w:ascii="Calibri" w:hAnsi="Calibri"/>
                <w:sz w:val="18"/>
              </w:rPr>
              <w:t>Optimisation trials</w:t>
            </w:r>
          </w:p>
        </w:tc>
        <w:tc>
          <w:tcPr>
            <w:tcW w:type="dxa" w:w="6624"/>
            <w:vAlign w:val="center"/>
          </w:tcPr>
          <w:p>
            <w:r>
              <w:rPr>
                <w:rFonts w:ascii="Calibri" w:hAnsi="Calibri"/>
                <w:sz w:val="18"/>
              </w:rPr>
              <w:t>40 per fold: 8 startup evaluations plus 32 Optuna TPE trials.</w:t>
            </w:r>
          </w:p>
        </w:tc>
      </w:tr>
      <w:tr>
        <w:tc>
          <w:tcPr>
            <w:tcW w:type="dxa" w:w="2448"/>
            <w:vAlign w:val="center"/>
          </w:tcPr>
          <w:p>
            <w:r>
              <w:rPr>
                <w:rFonts w:ascii="Calibri" w:hAnsi="Calibri"/>
                <w:sz w:val="18"/>
              </w:rPr>
              <w:t>Parallelism</w:t>
            </w:r>
          </w:p>
        </w:tc>
        <w:tc>
          <w:tcPr>
            <w:tcW w:type="dxa" w:w="6624"/>
            <w:vAlign w:val="center"/>
          </w:tcPr>
          <w:p>
            <w:r>
              <w:rPr>
                <w:rFonts w:ascii="Calibri" w:hAnsi="Calibri"/>
                <w:sz w:val="18"/>
              </w:rPr>
              <w:t>10 image workers.</w:t>
            </w:r>
          </w:p>
        </w:tc>
      </w:tr>
      <w:tr>
        <w:tc>
          <w:tcPr>
            <w:tcW w:type="dxa" w:w="2448"/>
            <w:vAlign w:val="center"/>
          </w:tcPr>
          <w:p>
            <w:r>
              <w:rPr>
                <w:rFonts w:ascii="Calibri" w:hAnsi="Calibri"/>
                <w:sz w:val="18"/>
              </w:rPr>
              <w:t>Image input</w:t>
            </w:r>
          </w:p>
        </w:tc>
        <w:tc>
          <w:tcPr>
            <w:tcW w:type="dxa" w:w="6624"/>
            <w:vAlign w:val="center"/>
          </w:tcPr>
          <w:p>
            <w:r>
              <w:rPr>
                <w:rFonts w:ascii="Calibri" w:hAnsi="Calibri"/>
                <w:sz w:val="18"/>
              </w:rPr>
              <w:t>Original science image for both algorithms.</w:t>
            </w:r>
          </w:p>
        </w:tc>
      </w:tr>
      <w:tr>
        <w:tc>
          <w:tcPr>
            <w:tcW w:type="dxa" w:w="2448"/>
            <w:vAlign w:val="center"/>
          </w:tcPr>
          <w:p>
            <w:r>
              <w:rPr>
                <w:rFonts w:ascii="Calibri" w:hAnsi="Calibri"/>
                <w:sz w:val="18"/>
              </w:rPr>
              <w:t>Maximum permitted mask</w:t>
            </w:r>
          </w:p>
        </w:tc>
        <w:tc>
          <w:tcPr>
            <w:tcW w:type="dxa" w:w="6624"/>
            <w:vAlign w:val="center"/>
          </w:tcPr>
          <w:p>
            <w:r>
              <w:rPr>
                <w:rFonts w:ascii="Calibri" w:hAnsi="Calibri"/>
                <w:sz w:val="18"/>
              </w:rPr>
              <w:t>15% during optimisation.</w:t>
            </w:r>
          </w:p>
        </w:tc>
      </w:tr>
      <w:tr>
        <w:tc>
          <w:tcPr>
            <w:tcW w:type="dxa" w:w="2448"/>
            <w:vAlign w:val="center"/>
          </w:tcPr>
          <w:p>
            <w:r>
              <w:rPr>
                <w:rFonts w:ascii="Calibri" w:hAnsi="Calibri"/>
                <w:sz w:val="18"/>
              </w:rPr>
              <w:t>Final evaluation</w:t>
            </w:r>
          </w:p>
        </w:tc>
        <w:tc>
          <w:tcPr>
            <w:tcW w:type="dxa" w:w="6624"/>
            <w:vAlign w:val="center"/>
          </w:tcPr>
          <w:p>
            <w:r>
              <w:rPr>
                <w:rFonts w:ascii="Calibri" w:hAnsi="Calibri"/>
                <w:sz w:val="18"/>
              </w:rPr>
              <w:t>182 galaxies; six standard toys per image; matched seed 202608299.</w:t>
            </w:r>
          </w:p>
        </w:tc>
      </w:tr>
    </w:tbl>
    <w:p/>
    <w:p>
      <w:pPr>
        <w:pStyle w:val="Heading1"/>
        <w:keepNext/>
      </w:pPr>
      <w:r>
        <w:t>4. Synthetic-object construction</w:t>
      </w:r>
    </w:p>
    <w:p>
      <w:r>
        <w:t>Six non-overlapping toys are placed wholly within the investigated galaxy region and away from image boundaries. Brightness is scaled to the robust image noise so that the challenge remains comparable across galaxies.</w:t>
      </w:r>
    </w:p>
    <w:tbl>
      <w:tblPr>
        <w:tblStyle w:val="TableGrid"/>
        <w:tblW w:type="auto" w:w="0"/>
        <w:jc w:val="center"/>
        <w:tblLook w:firstColumn="1" w:firstRow="1" w:lastColumn="0" w:lastRow="0" w:noHBand="0" w:noVBand="1" w:val="04A0"/>
      </w:tblPr>
      <w:tblGrid>
        <w:gridCol w:w="4680"/>
        <w:gridCol w:w="4680"/>
      </w:tblGrid>
      <w:tr>
        <w:tc>
          <w:tcPr>
            <w:tcW w:type="dxa" w:w="2448"/>
            <w:vAlign w:val="center"/>
            <w:shd w:fill="F2F4F7"/>
          </w:tcPr>
          <w:p>
            <w:r>
              <w:rPr>
                <w:rFonts w:ascii="Calibri" w:hAnsi="Calibri"/>
                <w:b/>
                <w:color w:val="0B2545"/>
                <w:sz w:val="18"/>
              </w:rPr>
              <w:t>Property</w:t>
            </w:r>
          </w:p>
        </w:tc>
        <w:tc>
          <w:tcPr>
            <w:tcW w:type="dxa" w:w="6624"/>
            <w:vAlign w:val="center"/>
            <w:shd w:fill="F2F4F7"/>
          </w:tcPr>
          <w:p>
            <w:r>
              <w:rPr>
                <w:rFonts w:ascii="Calibri" w:hAnsi="Calibri"/>
                <w:b/>
                <w:color w:val="0B2545"/>
                <w:sz w:val="18"/>
              </w:rPr>
              <w:t>Specification</w:t>
            </w:r>
          </w:p>
        </w:tc>
      </w:tr>
      <w:tr>
        <w:tc>
          <w:tcPr>
            <w:tcW w:type="dxa" w:w="2448"/>
            <w:vAlign w:val="center"/>
          </w:tcPr>
          <w:p>
            <w:r>
              <w:rPr>
                <w:rFonts w:ascii="Calibri" w:hAnsi="Calibri"/>
                <w:sz w:val="18"/>
              </w:rPr>
              <w:t>Object mixture</w:t>
            </w:r>
          </w:p>
        </w:tc>
        <w:tc>
          <w:tcPr>
            <w:tcW w:type="dxa" w:w="6624"/>
            <w:vAlign w:val="center"/>
          </w:tcPr>
          <w:p>
            <w:r>
              <w:rPr>
                <w:rFonts w:ascii="Calibri" w:hAnsi="Calibri"/>
                <w:sz w:val="18"/>
              </w:rPr>
              <w:t>Star 50%; compact cluster 20%; elliptical galaxy 30%.</w:t>
            </w:r>
          </w:p>
        </w:tc>
      </w:tr>
      <w:tr>
        <w:tc>
          <w:tcPr>
            <w:tcW w:type="dxa" w:w="2448"/>
            <w:vAlign w:val="center"/>
          </w:tcPr>
          <w:p>
            <w:r>
              <w:rPr>
                <w:rFonts w:ascii="Calibri" w:hAnsi="Calibri"/>
                <w:sz w:val="18"/>
              </w:rPr>
              <w:t>Peak amplitude</w:t>
            </w:r>
          </w:p>
        </w:tc>
        <w:tc>
          <w:tcPr>
            <w:tcW w:type="dxa" w:w="6624"/>
            <w:vAlign w:val="center"/>
          </w:tcPr>
          <w:p>
            <w:r>
              <w:rPr>
                <w:rFonts w:ascii="Calibri" w:hAnsi="Calibri"/>
                <w:sz w:val="18"/>
              </w:rPr>
              <w:t>5-25 times robust background sigma.</w:t>
            </w:r>
          </w:p>
        </w:tc>
      </w:tr>
      <w:tr>
        <w:tc>
          <w:tcPr>
            <w:tcW w:type="dxa" w:w="2448"/>
            <w:vAlign w:val="center"/>
          </w:tcPr>
          <w:p>
            <w:r>
              <w:rPr>
                <w:rFonts w:ascii="Calibri" w:hAnsi="Calibri"/>
                <w:sz w:val="18"/>
              </w:rPr>
              <w:t>FWHM</w:t>
            </w:r>
          </w:p>
        </w:tc>
        <w:tc>
          <w:tcPr>
            <w:tcW w:type="dxa" w:w="6624"/>
            <w:vAlign w:val="center"/>
          </w:tcPr>
          <w:p>
            <w:r>
              <w:rPr>
                <w:rFonts w:ascii="Calibri" w:hAnsi="Calibri"/>
                <w:sz w:val="18"/>
              </w:rPr>
              <w:t>Stars/clusters 2-10 pixels; galaxies 5-22 pixels.</w:t>
            </w:r>
          </w:p>
        </w:tc>
      </w:tr>
      <w:tr>
        <w:tc>
          <w:tcPr>
            <w:tcW w:type="dxa" w:w="2448"/>
            <w:vAlign w:val="center"/>
          </w:tcPr>
          <w:p>
            <w:r>
              <w:rPr>
                <w:rFonts w:ascii="Calibri" w:hAnsi="Calibri"/>
                <w:sz w:val="18"/>
              </w:rPr>
              <w:t>Galaxy axis ratio</w:t>
            </w:r>
          </w:p>
        </w:tc>
        <w:tc>
          <w:tcPr>
            <w:tcW w:type="dxa" w:w="6624"/>
            <w:vAlign w:val="center"/>
          </w:tcPr>
          <w:p>
            <w:r>
              <w:rPr>
                <w:rFonts w:ascii="Calibri" w:hAnsi="Calibri"/>
                <w:sz w:val="18"/>
              </w:rPr>
              <w:t>0.35-0.95.</w:t>
            </w:r>
          </w:p>
        </w:tc>
      </w:tr>
      <w:tr>
        <w:tc>
          <w:tcPr>
            <w:tcW w:type="dxa" w:w="2448"/>
            <w:vAlign w:val="center"/>
          </w:tcPr>
          <w:p>
            <w:r>
              <w:rPr>
                <w:rFonts w:ascii="Calibri" w:hAnsi="Calibri"/>
                <w:sz w:val="18"/>
              </w:rPr>
              <w:t>Position angle</w:t>
            </w:r>
          </w:p>
        </w:tc>
        <w:tc>
          <w:tcPr>
            <w:tcW w:type="dxa" w:w="6624"/>
            <w:vAlign w:val="center"/>
          </w:tcPr>
          <w:p>
            <w:r>
              <w:rPr>
                <w:rFonts w:ascii="Calibri" w:hAnsi="Calibri"/>
                <w:sz w:val="18"/>
              </w:rPr>
              <w:t>0-180 degrees.</w:t>
            </w:r>
          </w:p>
        </w:tc>
      </w:tr>
      <w:tr>
        <w:tc>
          <w:tcPr>
            <w:tcW w:type="dxa" w:w="2448"/>
            <w:vAlign w:val="center"/>
          </w:tcPr>
          <w:p>
            <w:r>
              <w:rPr>
                <w:rFonts w:ascii="Calibri" w:hAnsi="Calibri"/>
                <w:sz w:val="18"/>
              </w:rPr>
              <w:t>Truth definition</w:t>
            </w:r>
          </w:p>
        </w:tc>
        <w:tc>
          <w:tcPr>
            <w:tcW w:type="dxa" w:w="6624"/>
            <w:vAlign w:val="center"/>
          </w:tcPr>
          <w:p>
            <w:r>
              <w:rPr>
                <w:rFonts w:ascii="Calibri" w:hAnsi="Calibri"/>
                <w:sz w:val="18"/>
              </w:rPr>
              <w:t>Pixels at or above 8% of peak, then dilated by one pixel.</w:t>
            </w:r>
          </w:p>
        </w:tc>
      </w:tr>
      <w:tr>
        <w:tc>
          <w:tcPr>
            <w:tcW w:type="dxa" w:w="2448"/>
            <w:vAlign w:val="center"/>
          </w:tcPr>
          <w:p>
            <w:r>
              <w:rPr>
                <w:rFonts w:ascii="Calibri" w:hAnsi="Calibri"/>
                <w:sz w:val="18"/>
              </w:rPr>
              <w:t>Placement controls</w:t>
            </w:r>
          </w:p>
        </w:tc>
        <w:tc>
          <w:tcPr>
            <w:tcW w:type="dxa" w:w="6624"/>
            <w:vAlign w:val="center"/>
          </w:tcPr>
          <w:p>
            <w:r>
              <w:rPr>
                <w:rFonts w:ascii="Calibri" w:hAnsi="Calibri"/>
                <w:sz w:val="18"/>
              </w:rPr>
              <w:t>Investigated region only, edge margin, and no toy overlap.</w:t>
            </w:r>
          </w:p>
        </w:tc>
      </w:tr>
    </w:tbl>
    <w:p/>
    <w:p>
      <w:pPr>
        <w:pStyle w:val="Heading1"/>
        <w:keepNext/>
      </w:pPr>
      <w:r>
        <w:t>5. Masking pipelines</w:t>
      </w:r>
    </w:p>
    <w:p>
      <w:pPr>
        <w:pStyle w:val="Heading2"/>
        <w:keepNext/>
      </w:pPr>
      <w:r>
        <w:t>SEP</w:t>
      </w:r>
    </w:p>
    <w:p>
      <w:r>
        <w:t>SEP estimates the background, detects thresholded connected sources, deblends detections, filters components by area and elongation, excludes the protected centre, and dilates accepted segments. Detection is always performed on the science image.</w:t>
      </w:r>
    </w:p>
    <w:p>
      <w:pPr>
        <w:pStyle w:val="Heading2"/>
        <w:keepNext/>
      </w:pPr>
      <w:r>
        <w:t>MTObjects</w:t>
      </w:r>
    </w:p>
    <w:p>
      <w:r>
        <w:t>MTObjects uses a max-tree representation controlled by move factor, minimum distance, Gaussian smoothing and calibrated background variance. Accepted components are filtered by area and elongation, central exclusion and dilation. Detection is always performed on the science image.</w:t>
      </w:r>
    </w:p>
    <w:p>
      <w:pPr>
        <w:pStyle w:val="Heading2"/>
        <w:keepNext/>
      </w:pPr>
      <w:r>
        <w:t>Documentation-constrained search spaces</w:t>
      </w:r>
    </w:p>
    <w:tbl>
      <w:tblPr>
        <w:tblStyle w:val="TableGrid"/>
        <w:tblW w:type="auto" w:w="0"/>
        <w:jc w:val="center"/>
        <w:tblLook w:firstColumn="1" w:firstRow="1" w:lastColumn="0" w:lastRow="0" w:noHBand="0" w:noVBand="1" w:val="04A0"/>
      </w:tblPr>
      <w:tblGrid>
        <w:gridCol w:w="3120"/>
        <w:gridCol w:w="3120"/>
        <w:gridCol w:w="3120"/>
      </w:tblGrid>
      <w:tr>
        <w:tc>
          <w:tcPr>
            <w:tcW w:type="dxa" w:w="2952"/>
            <w:vAlign w:val="center"/>
            <w:shd w:fill="F2F4F7"/>
          </w:tcPr>
          <w:p>
            <w:r>
              <w:rPr>
                <w:rFonts w:ascii="Calibri" w:hAnsi="Calibri"/>
                <w:b/>
                <w:color w:val="0B2545"/>
                <w:sz w:val="18"/>
              </w:rPr>
              <w:t>Parameter</w:t>
            </w:r>
          </w:p>
        </w:tc>
        <w:tc>
          <w:tcPr>
            <w:tcW w:type="dxa" w:w="3024"/>
            <w:vAlign w:val="center"/>
            <w:shd w:fill="F2F4F7"/>
          </w:tcPr>
          <w:p>
            <w:r>
              <w:rPr>
                <w:rFonts w:ascii="Calibri" w:hAnsi="Calibri"/>
                <w:b/>
                <w:color w:val="0B2545"/>
                <w:sz w:val="18"/>
              </w:rPr>
              <w:t>SEP search range</w:t>
            </w:r>
          </w:p>
        </w:tc>
        <w:tc>
          <w:tcPr>
            <w:tcW w:type="dxa" w:w="3096"/>
            <w:vAlign w:val="center"/>
            <w:shd w:fill="F2F4F7"/>
          </w:tcPr>
          <w:p>
            <w:r>
              <w:rPr>
                <w:rFonts w:ascii="Calibri" w:hAnsi="Calibri"/>
                <w:b/>
                <w:color w:val="0B2545"/>
                <w:sz w:val="18"/>
              </w:rPr>
              <w:t>MTObjects search range</w:t>
            </w:r>
          </w:p>
        </w:tc>
      </w:tr>
      <w:tr>
        <w:tc>
          <w:tcPr>
            <w:tcW w:type="dxa" w:w="2952"/>
            <w:vAlign w:val="center"/>
          </w:tcPr>
          <w:p>
            <w:r>
              <w:rPr>
                <w:rFonts w:ascii="Calibri" w:hAnsi="Calibri"/>
                <w:sz w:val="18"/>
              </w:rPr>
              <w:t>Detection control</w:t>
            </w:r>
          </w:p>
        </w:tc>
        <w:tc>
          <w:tcPr>
            <w:tcW w:type="dxa" w:w="3024"/>
            <w:vAlign w:val="center"/>
          </w:tcPr>
          <w:p>
            <w:r>
              <w:rPr>
                <w:rFonts w:ascii="Calibri" w:hAnsi="Calibri"/>
                <w:sz w:val="18"/>
              </w:rPr>
              <w:t>detect_thresh 0.6-2.0</w:t>
            </w:r>
          </w:p>
        </w:tc>
        <w:tc>
          <w:tcPr>
            <w:tcW w:type="dxa" w:w="3096"/>
            <w:vAlign w:val="center"/>
          </w:tcPr>
          <w:p>
            <w:r>
              <w:rPr>
                <w:rFonts w:ascii="Calibri" w:hAnsi="Calibri"/>
                <w:sz w:val="18"/>
              </w:rPr>
              <w:t>move_factor 0.0-1.0</w:t>
            </w:r>
          </w:p>
        </w:tc>
      </w:tr>
      <w:tr>
        <w:tc>
          <w:tcPr>
            <w:tcW w:type="dxa" w:w="2952"/>
            <w:vAlign w:val="center"/>
          </w:tcPr>
          <w:p>
            <w:r>
              <w:rPr>
                <w:rFonts w:ascii="Calibri" w:hAnsi="Calibri"/>
                <w:sz w:val="18"/>
              </w:rPr>
              <w:t>Minimum area</w:t>
            </w:r>
          </w:p>
        </w:tc>
        <w:tc>
          <w:tcPr>
            <w:tcW w:type="dxa" w:w="3024"/>
            <w:vAlign w:val="center"/>
          </w:tcPr>
          <w:p>
            <w:r>
              <w:rPr>
                <w:rFonts w:ascii="Calibri" w:hAnsi="Calibri"/>
                <w:sz w:val="18"/>
              </w:rPr>
              <w:t>5-35 pixels</w:t>
            </w:r>
          </w:p>
        </w:tc>
        <w:tc>
          <w:tcPr>
            <w:tcW w:type="dxa" w:w="3096"/>
            <w:vAlign w:val="center"/>
          </w:tcPr>
          <w:p>
            <w:r>
              <w:rPr>
                <w:rFonts w:ascii="Calibri" w:hAnsi="Calibri"/>
                <w:sz w:val="18"/>
              </w:rPr>
              <w:t>1-40 pixels</w:t>
            </w:r>
          </w:p>
        </w:tc>
      </w:tr>
      <w:tr>
        <w:tc>
          <w:tcPr>
            <w:tcW w:type="dxa" w:w="2952"/>
            <w:vAlign w:val="center"/>
          </w:tcPr>
          <w:p>
            <w:r>
              <w:rPr>
                <w:rFonts w:ascii="Calibri" w:hAnsi="Calibri"/>
                <w:sz w:val="18"/>
              </w:rPr>
              <w:t>Deblending</w:t>
            </w:r>
          </w:p>
        </w:tc>
        <w:tc>
          <w:tcPr>
            <w:tcW w:type="dxa" w:w="3024"/>
            <w:vAlign w:val="center"/>
          </w:tcPr>
          <w:p>
            <w:r>
              <w:rPr>
                <w:rFonts w:ascii="Calibri" w:hAnsi="Calibri"/>
                <w:sz w:val="18"/>
              </w:rPr>
              <w:t>16/32/64; contrast 0.001-0.03</w:t>
            </w:r>
          </w:p>
        </w:tc>
        <w:tc>
          <w:tcPr>
            <w:tcW w:type="dxa" w:w="3096"/>
            <w:vAlign w:val="center"/>
          </w:tcPr>
          <w:p>
            <w:r>
              <w:rPr>
                <w:rFonts w:ascii="Calibri" w:hAnsi="Calibri"/>
                <w:sz w:val="18"/>
              </w:rPr>
              <w:t>Not applicable</w:t>
            </w:r>
          </w:p>
        </w:tc>
      </w:tr>
      <w:tr>
        <w:tc>
          <w:tcPr>
            <w:tcW w:type="dxa" w:w="2952"/>
            <w:vAlign w:val="center"/>
          </w:tcPr>
          <w:p>
            <w:r>
              <w:rPr>
                <w:rFonts w:ascii="Calibri" w:hAnsi="Calibri"/>
                <w:sz w:val="18"/>
              </w:rPr>
              <w:t>Background</w:t>
            </w:r>
          </w:p>
        </w:tc>
        <w:tc>
          <w:tcPr>
            <w:tcW w:type="dxa" w:w="3024"/>
            <w:vAlign w:val="center"/>
          </w:tcPr>
          <w:p>
            <w:r>
              <w:rPr>
                <w:rFonts w:ascii="Calibri" w:hAnsi="Calibri"/>
                <w:sz w:val="18"/>
              </w:rPr>
              <w:t>mesh 32/64/128/256; filter 1/3/5/7/9</w:t>
            </w:r>
          </w:p>
        </w:tc>
        <w:tc>
          <w:tcPr>
            <w:tcW w:type="dxa" w:w="3096"/>
            <w:vAlign w:val="center"/>
          </w:tcPr>
          <w:p>
            <w:r>
              <w:rPr>
                <w:rFonts w:ascii="Calibri" w:hAnsi="Calibri"/>
                <w:sz w:val="18"/>
              </w:rPr>
              <w:t>bg_variance, logarithmic</w:t>
            </w:r>
          </w:p>
        </w:tc>
      </w:tr>
      <w:tr>
        <w:tc>
          <w:tcPr>
            <w:tcW w:type="dxa" w:w="2952"/>
            <w:vAlign w:val="center"/>
          </w:tcPr>
          <w:p>
            <w:r>
              <w:rPr>
                <w:rFonts w:ascii="Calibri" w:hAnsi="Calibri"/>
                <w:sz w:val="18"/>
              </w:rPr>
              <w:t>Dilation radius</w:t>
            </w:r>
          </w:p>
        </w:tc>
        <w:tc>
          <w:tcPr>
            <w:tcW w:type="dxa" w:w="3024"/>
            <w:vAlign w:val="center"/>
          </w:tcPr>
          <w:p>
            <w:r>
              <w:rPr>
                <w:rFonts w:ascii="Calibri" w:hAnsi="Calibri"/>
                <w:sz w:val="18"/>
              </w:rPr>
              <w:t>1-6 pixels</w:t>
            </w:r>
          </w:p>
        </w:tc>
        <w:tc>
          <w:tcPr>
            <w:tcW w:type="dxa" w:w="3096"/>
            <w:vAlign w:val="center"/>
          </w:tcPr>
          <w:p>
            <w:r>
              <w:rPr>
                <w:rFonts w:ascii="Calibri" w:hAnsi="Calibri"/>
                <w:sz w:val="18"/>
              </w:rPr>
              <w:t>1-6 pixels</w:t>
            </w:r>
          </w:p>
        </w:tc>
      </w:tr>
      <w:tr>
        <w:tc>
          <w:tcPr>
            <w:tcW w:type="dxa" w:w="2952"/>
            <w:vAlign w:val="center"/>
          </w:tcPr>
          <w:p>
            <w:r>
              <w:rPr>
                <w:rFonts w:ascii="Calibri" w:hAnsi="Calibri"/>
                <w:sz w:val="18"/>
              </w:rPr>
              <w:t>Maximum component area</w:t>
            </w:r>
          </w:p>
        </w:tc>
        <w:tc>
          <w:tcPr>
            <w:tcW w:type="dxa" w:w="3024"/>
            <w:vAlign w:val="center"/>
          </w:tcPr>
          <w:p>
            <w:r>
              <w:rPr>
                <w:rFonts w:ascii="Calibri" w:hAnsi="Calibri"/>
                <w:sz w:val="18"/>
              </w:rPr>
              <w:t>20-8000 pixels</w:t>
            </w:r>
          </w:p>
        </w:tc>
        <w:tc>
          <w:tcPr>
            <w:tcW w:type="dxa" w:w="3096"/>
            <w:vAlign w:val="center"/>
          </w:tcPr>
          <w:p>
            <w:r>
              <w:rPr>
                <w:rFonts w:ascii="Calibri" w:hAnsi="Calibri"/>
                <w:sz w:val="18"/>
              </w:rPr>
              <w:t>20-3000 pixels</w:t>
            </w:r>
          </w:p>
        </w:tc>
      </w:tr>
      <w:tr>
        <w:tc>
          <w:tcPr>
            <w:tcW w:type="dxa" w:w="2952"/>
            <w:vAlign w:val="center"/>
          </w:tcPr>
          <w:p>
            <w:r>
              <w:rPr>
                <w:rFonts w:ascii="Calibri" w:hAnsi="Calibri"/>
                <w:sz w:val="18"/>
              </w:rPr>
              <w:t>Maximum elongation</w:t>
            </w:r>
          </w:p>
        </w:tc>
        <w:tc>
          <w:tcPr>
            <w:tcW w:type="dxa" w:w="3024"/>
            <w:vAlign w:val="center"/>
          </w:tcPr>
          <w:p>
            <w:r>
              <w:rPr>
                <w:rFonts w:ascii="Calibri" w:hAnsi="Calibri"/>
                <w:sz w:val="18"/>
              </w:rPr>
              <w:t>1.5-30.0</w:t>
            </w:r>
          </w:p>
        </w:tc>
        <w:tc>
          <w:tcPr>
            <w:tcW w:type="dxa" w:w="3096"/>
            <w:vAlign w:val="center"/>
          </w:tcPr>
          <w:p>
            <w:r>
              <w:rPr>
                <w:rFonts w:ascii="Calibri" w:hAnsi="Calibri"/>
                <w:sz w:val="18"/>
              </w:rPr>
              <w:t>2.0-15.0</w:t>
            </w:r>
          </w:p>
        </w:tc>
      </w:tr>
    </w:tbl>
    <w:p/>
    <w:p>
      <w:pPr>
        <w:pStyle w:val="Heading1"/>
        <w:keepNext/>
      </w:pPr>
      <w:r>
        <w:t>6. Objective functions</w:t>
      </w:r>
    </w:p>
    <w:p>
      <w:r>
        <w:t>Tuning uses the incremental mask: the mask after toy injection minus the baseline mask from the uninjected science image. This isolates masking attributable to injected toys.</w:t>
      </w:r>
    </w:p>
    <w:p>
      <w:pPr>
        <w:pStyle w:val="Heading2"/>
        <w:keepNext/>
      </w:pPr>
      <w:r>
        <w:t>Common metrics</w:t>
      </w:r>
    </w:p>
    <w:p>
      <w:pPr>
        <w:pStyle w:val="ListBullet"/>
      </w:pPr>
      <w:r>
        <w:t>Pixel recall: recovered toy-truth pixels divided by all toy-truth pixels.</w:t>
      </w:r>
    </w:p>
    <w:p>
      <w:pPr>
        <w:pStyle w:val="ListBullet"/>
      </w:pPr>
      <w:r>
        <w:t>Pixel precision: toy-truth overlap divided by all incremental masked pixels.</w:t>
      </w:r>
    </w:p>
    <w:p>
      <w:pPr>
        <w:pStyle w:val="ListBullet"/>
      </w:pPr>
      <w:r>
        <w:t>F1: harmonic mean of pixel recall and precision.</w:t>
      </w:r>
    </w:p>
    <w:p>
      <w:pPr>
        <w:pStyle w:val="ListBullet"/>
      </w:pPr>
      <w:r>
        <w:t>Mean per-toy recall: average recovered fraction across individual toys.</w:t>
      </w:r>
    </w:p>
    <w:p>
      <w:pPr>
        <w:pStyle w:val="ListBullet"/>
      </w:pPr>
      <w:r>
        <w:t>Toy detection rate: fraction of toys with at least 50% of truth pixels masked.</w:t>
      </w:r>
    </w:p>
    <w:p>
      <w:pPr>
        <w:pStyle w:val="ListBullet"/>
      </w:pPr>
      <w:r>
        <w:t>Data-loss controls: mean mask, false-positive fraction and a hard 15% cap.</w:t>
      </w:r>
    </w:p>
    <w:p>
      <w:pPr>
        <w:pStyle w:val="Heading2"/>
        <w:keepNext/>
      </w:pPr>
      <w:r>
        <w:t>SEP scalar score</w:t>
      </w:r>
    </w:p>
    <w:p>
      <w:r>
        <w:t>Recovery = 0.45 x pixel recall + 0.20 x F1 + 0.25 x per-toy recall + 0.20 x toy detection. Data loss = 0.35 x masked fraction + 0.05 x false-positive fraction. The maximised score is recovery minus data loss; exceeding 15% invokes a large infeasibility penalty.</w:t>
      </w:r>
    </w:p>
    <w:p>
      <w:pPr>
        <w:pStyle w:val="Heading2"/>
        <w:keepNext/>
      </w:pPr>
      <w:r>
        <w:t>MTObjects recovery-constrained score</w:t>
      </w:r>
    </w:p>
    <w:p>
      <w:r>
        <w:t>Recovery = 0.45 x F1 + 0.35 x per-toy recall + 0.20 x toy detection. Data loss = 0.50 x masked fraction + 0.10 x false-positive fraction. A trial is infeasible if it adds no mask, detection is below 0.25, per-toy recall is below 0.20, or the 15% cap is exceeded.</w:t>
      </w:r>
    </w:p>
    <w:p>
      <w:pPr>
        <w:pStyle w:val="Heading1"/>
        <w:keepNext/>
      </w:pPr>
      <w:r>
        <w:t>7. Selected configurations</w:t>
      </w:r>
    </w:p>
    <w:tbl>
      <w:tblPr>
        <w:tblStyle w:val="TableGrid"/>
        <w:tblW w:type="auto" w:w="0"/>
        <w:jc w:val="center"/>
        <w:tblLook w:firstColumn="1" w:firstRow="1" w:lastColumn="0" w:lastRow="0" w:noHBand="0" w:noVBand="1" w:val="04A0"/>
      </w:tblPr>
      <w:tblGrid>
        <w:gridCol w:w="3120"/>
        <w:gridCol w:w="3120"/>
        <w:gridCol w:w="3120"/>
      </w:tblGrid>
      <w:tr>
        <w:tc>
          <w:tcPr>
            <w:tcW w:type="dxa" w:w="2952"/>
            <w:vAlign w:val="center"/>
            <w:shd w:fill="F2F4F7"/>
          </w:tcPr>
          <w:p>
            <w:r>
              <w:rPr>
                <w:rFonts w:ascii="Calibri" w:hAnsi="Calibri"/>
                <w:b/>
                <w:color w:val="0B2545"/>
                <w:sz w:val="18"/>
              </w:rPr>
              <w:t>Setting</w:t>
            </w:r>
          </w:p>
        </w:tc>
        <w:tc>
          <w:tcPr>
            <w:tcW w:type="dxa" w:w="3024"/>
            <w:vAlign w:val="center"/>
            <w:shd w:fill="F2F4F7"/>
          </w:tcPr>
          <w:p>
            <w:r>
              <w:rPr>
                <w:rFonts w:ascii="Calibri" w:hAnsi="Calibri"/>
                <w:b/>
                <w:color w:val="0B2545"/>
                <w:sz w:val="18"/>
              </w:rPr>
              <w:t>SEP selected</w:t>
            </w:r>
          </w:p>
        </w:tc>
        <w:tc>
          <w:tcPr>
            <w:tcW w:type="dxa" w:w="3096"/>
            <w:vAlign w:val="center"/>
            <w:shd w:fill="F2F4F7"/>
          </w:tcPr>
          <w:p>
            <w:r>
              <w:rPr>
                <w:rFonts w:ascii="Calibri" w:hAnsi="Calibri"/>
                <w:b/>
                <w:color w:val="0B2545"/>
                <w:sz w:val="18"/>
              </w:rPr>
              <w:t>MTObjects selected</w:t>
            </w:r>
          </w:p>
        </w:tc>
      </w:tr>
      <w:tr>
        <w:tc>
          <w:tcPr>
            <w:tcW w:type="dxa" w:w="2952"/>
            <w:vAlign w:val="center"/>
          </w:tcPr>
          <w:p>
            <w:r>
              <w:rPr>
                <w:rFonts w:ascii="Calibri" w:hAnsi="Calibri"/>
                <w:sz w:val="18"/>
              </w:rPr>
              <w:t>Winning fold</w:t>
            </w:r>
          </w:p>
        </w:tc>
        <w:tc>
          <w:tcPr>
            <w:tcW w:type="dxa" w:w="3024"/>
            <w:vAlign w:val="center"/>
          </w:tcPr>
          <w:p>
            <w:r>
              <w:rPr>
                <w:rFonts w:ascii="Calibri" w:hAnsi="Calibri"/>
                <w:sz w:val="18"/>
              </w:rPr>
              <w:t>4</w:t>
            </w:r>
          </w:p>
        </w:tc>
        <w:tc>
          <w:tcPr>
            <w:tcW w:type="dxa" w:w="3096"/>
            <w:vAlign w:val="center"/>
          </w:tcPr>
          <w:p>
            <w:r>
              <w:rPr>
                <w:rFonts w:ascii="Calibri" w:hAnsi="Calibri"/>
                <w:sz w:val="18"/>
              </w:rPr>
              <w:t>3</w:t>
            </w:r>
          </w:p>
        </w:tc>
      </w:tr>
      <w:tr>
        <w:tc>
          <w:tcPr>
            <w:tcW w:type="dxa" w:w="2952"/>
            <w:vAlign w:val="center"/>
          </w:tcPr>
          <w:p>
            <w:r>
              <w:rPr>
                <w:rFonts w:ascii="Calibri" w:hAnsi="Calibri"/>
                <w:sz w:val="18"/>
              </w:rPr>
              <w:t>Core sensitivity</w:t>
            </w:r>
          </w:p>
        </w:tc>
        <w:tc>
          <w:tcPr>
            <w:tcW w:type="dxa" w:w="3024"/>
            <w:vAlign w:val="center"/>
          </w:tcPr>
          <w:p>
            <w:r>
              <w:rPr>
                <w:rFonts w:ascii="Calibri" w:hAnsi="Calibri"/>
                <w:sz w:val="18"/>
              </w:rPr>
              <w:t>detect_thresh 1.9811</w:t>
            </w:r>
          </w:p>
        </w:tc>
        <w:tc>
          <w:tcPr>
            <w:tcW w:type="dxa" w:w="3096"/>
            <w:vAlign w:val="center"/>
          </w:tcPr>
          <w:p>
            <w:r>
              <w:rPr>
                <w:rFonts w:ascii="Calibri" w:hAnsi="Calibri"/>
                <w:sz w:val="18"/>
              </w:rPr>
              <w:t>move_factor 0.8052</w:t>
            </w:r>
          </w:p>
        </w:tc>
      </w:tr>
      <w:tr>
        <w:tc>
          <w:tcPr>
            <w:tcW w:type="dxa" w:w="2952"/>
            <w:vAlign w:val="center"/>
          </w:tcPr>
          <w:p>
            <w:r>
              <w:rPr>
                <w:rFonts w:ascii="Calibri" w:hAnsi="Calibri"/>
                <w:sz w:val="18"/>
              </w:rPr>
              <w:t>Minimum area</w:t>
            </w:r>
          </w:p>
        </w:tc>
        <w:tc>
          <w:tcPr>
            <w:tcW w:type="dxa" w:w="3024"/>
            <w:vAlign w:val="center"/>
          </w:tcPr>
          <w:p>
            <w:r>
              <w:rPr>
                <w:rFonts w:ascii="Calibri" w:hAnsi="Calibri"/>
                <w:sz w:val="18"/>
              </w:rPr>
              <w:t>12</w:t>
            </w:r>
          </w:p>
        </w:tc>
        <w:tc>
          <w:tcPr>
            <w:tcW w:type="dxa" w:w="3096"/>
            <w:vAlign w:val="center"/>
          </w:tcPr>
          <w:p>
            <w:r>
              <w:rPr>
                <w:rFonts w:ascii="Calibri" w:hAnsi="Calibri"/>
                <w:sz w:val="18"/>
              </w:rPr>
              <w:t>5</w:t>
            </w:r>
          </w:p>
        </w:tc>
      </w:tr>
      <w:tr>
        <w:tc>
          <w:tcPr>
            <w:tcW w:type="dxa" w:w="2952"/>
            <w:vAlign w:val="center"/>
          </w:tcPr>
          <w:p>
            <w:r>
              <w:rPr>
                <w:rFonts w:ascii="Calibri" w:hAnsi="Calibri"/>
                <w:sz w:val="18"/>
              </w:rPr>
              <w:t>Deblending</w:t>
            </w:r>
          </w:p>
        </w:tc>
        <w:tc>
          <w:tcPr>
            <w:tcW w:type="dxa" w:w="3024"/>
            <w:vAlign w:val="center"/>
          </w:tcPr>
          <w:p>
            <w:r>
              <w:rPr>
                <w:rFonts w:ascii="Calibri" w:hAnsi="Calibri"/>
                <w:sz w:val="18"/>
              </w:rPr>
              <w:t>32; contrast 0.001043</w:t>
            </w:r>
          </w:p>
        </w:tc>
        <w:tc>
          <w:tcPr>
            <w:tcW w:type="dxa" w:w="3096"/>
            <w:vAlign w:val="center"/>
          </w:tcPr>
          <w:p>
            <w:r>
              <w:rPr>
                <w:rFonts w:ascii="Calibri" w:hAnsi="Calibri"/>
                <w:sz w:val="18"/>
              </w:rPr>
              <w:t>-</w:t>
            </w:r>
          </w:p>
        </w:tc>
      </w:tr>
      <w:tr>
        <w:tc>
          <w:tcPr>
            <w:tcW w:type="dxa" w:w="2952"/>
            <w:vAlign w:val="center"/>
          </w:tcPr>
          <w:p>
            <w:r>
              <w:rPr>
                <w:rFonts w:ascii="Calibri" w:hAnsi="Calibri"/>
                <w:sz w:val="18"/>
              </w:rPr>
              <w:t>Background</w:t>
            </w:r>
          </w:p>
        </w:tc>
        <w:tc>
          <w:tcPr>
            <w:tcW w:type="dxa" w:w="3024"/>
            <w:vAlign w:val="center"/>
          </w:tcPr>
          <w:p>
            <w:r>
              <w:rPr>
                <w:rFonts w:ascii="Calibri" w:hAnsi="Calibri"/>
                <w:sz w:val="18"/>
              </w:rPr>
              <w:t>mesh 32; filter 1</w:t>
            </w:r>
          </w:p>
        </w:tc>
        <w:tc>
          <w:tcPr>
            <w:tcW w:type="dxa" w:w="3096"/>
            <w:vAlign w:val="center"/>
          </w:tcPr>
          <w:p>
            <w:r>
              <w:rPr>
                <w:rFonts w:ascii="Calibri" w:hAnsi="Calibri"/>
                <w:sz w:val="18"/>
              </w:rPr>
              <w:t>variance 0.0008210</w:t>
            </w:r>
          </w:p>
        </w:tc>
      </w:tr>
      <w:tr>
        <w:tc>
          <w:tcPr>
            <w:tcW w:type="dxa" w:w="2952"/>
            <w:vAlign w:val="center"/>
          </w:tcPr>
          <w:p>
            <w:r>
              <w:rPr>
                <w:rFonts w:ascii="Calibri" w:hAnsi="Calibri"/>
                <w:sz w:val="18"/>
              </w:rPr>
              <w:t>Gaussian FWHM</w:t>
            </w:r>
          </w:p>
        </w:tc>
        <w:tc>
          <w:tcPr>
            <w:tcW w:type="dxa" w:w="3024"/>
            <w:vAlign w:val="center"/>
          </w:tcPr>
          <w:p>
            <w:r>
              <w:rPr>
                <w:rFonts w:ascii="Calibri" w:hAnsi="Calibri"/>
                <w:sz w:val="18"/>
              </w:rPr>
              <w:t>-</w:t>
            </w:r>
          </w:p>
        </w:tc>
        <w:tc>
          <w:tcPr>
            <w:tcW w:type="dxa" w:w="3096"/>
            <w:vAlign w:val="center"/>
          </w:tcPr>
          <w:p>
            <w:r>
              <w:rPr>
                <w:rFonts w:ascii="Calibri" w:hAnsi="Calibri"/>
                <w:sz w:val="18"/>
              </w:rPr>
              <w:t>0.42985</w:t>
            </w:r>
          </w:p>
        </w:tc>
      </w:tr>
      <w:tr>
        <w:tc>
          <w:tcPr>
            <w:tcW w:type="dxa" w:w="2952"/>
            <w:vAlign w:val="center"/>
          </w:tcPr>
          <w:p>
            <w:r>
              <w:rPr>
                <w:rFonts w:ascii="Calibri" w:hAnsi="Calibri"/>
                <w:sz w:val="18"/>
              </w:rPr>
              <w:t>Minimum distance</w:t>
            </w:r>
          </w:p>
        </w:tc>
        <w:tc>
          <w:tcPr>
            <w:tcW w:type="dxa" w:w="3024"/>
            <w:vAlign w:val="center"/>
          </w:tcPr>
          <w:p>
            <w:r>
              <w:rPr>
                <w:rFonts w:ascii="Calibri" w:hAnsi="Calibri"/>
                <w:sz w:val="18"/>
              </w:rPr>
              <w:t>-</w:t>
            </w:r>
          </w:p>
        </w:tc>
        <w:tc>
          <w:tcPr>
            <w:tcW w:type="dxa" w:w="3096"/>
            <w:vAlign w:val="center"/>
          </w:tcPr>
          <w:p>
            <w:r>
              <w:rPr>
                <w:rFonts w:ascii="Calibri" w:hAnsi="Calibri"/>
                <w:sz w:val="18"/>
              </w:rPr>
              <w:t>0.21516</w:t>
            </w:r>
          </w:p>
        </w:tc>
      </w:tr>
      <w:tr>
        <w:tc>
          <w:tcPr>
            <w:tcW w:type="dxa" w:w="2952"/>
            <w:vAlign w:val="center"/>
          </w:tcPr>
          <w:p>
            <w:r>
              <w:rPr>
                <w:rFonts w:ascii="Calibri" w:hAnsi="Calibri"/>
                <w:sz w:val="18"/>
              </w:rPr>
              <w:t>Dilation radius</w:t>
            </w:r>
          </w:p>
        </w:tc>
        <w:tc>
          <w:tcPr>
            <w:tcW w:type="dxa" w:w="3024"/>
            <w:vAlign w:val="center"/>
          </w:tcPr>
          <w:p>
            <w:r>
              <w:rPr>
                <w:rFonts w:ascii="Calibri" w:hAnsi="Calibri"/>
                <w:sz w:val="18"/>
              </w:rPr>
              <w:t>4</w:t>
            </w:r>
          </w:p>
        </w:tc>
        <w:tc>
          <w:tcPr>
            <w:tcW w:type="dxa" w:w="3096"/>
            <w:vAlign w:val="center"/>
          </w:tcPr>
          <w:p>
            <w:r>
              <w:rPr>
                <w:rFonts w:ascii="Calibri" w:hAnsi="Calibri"/>
                <w:sz w:val="18"/>
              </w:rPr>
              <w:t>3</w:t>
            </w:r>
          </w:p>
        </w:tc>
      </w:tr>
      <w:tr>
        <w:tc>
          <w:tcPr>
            <w:tcW w:type="dxa" w:w="2952"/>
            <w:vAlign w:val="center"/>
          </w:tcPr>
          <w:p>
            <w:r>
              <w:rPr>
                <w:rFonts w:ascii="Calibri" w:hAnsi="Calibri"/>
                <w:sz w:val="18"/>
              </w:rPr>
              <w:t>Maximum area</w:t>
            </w:r>
          </w:p>
        </w:tc>
        <w:tc>
          <w:tcPr>
            <w:tcW w:type="dxa" w:w="3024"/>
            <w:vAlign w:val="center"/>
          </w:tcPr>
          <w:p>
            <w:r>
              <w:rPr>
                <w:rFonts w:ascii="Calibri" w:hAnsi="Calibri"/>
                <w:sz w:val="18"/>
              </w:rPr>
              <w:t>4885</w:t>
            </w:r>
          </w:p>
        </w:tc>
        <w:tc>
          <w:tcPr>
            <w:tcW w:type="dxa" w:w="3096"/>
            <w:vAlign w:val="center"/>
          </w:tcPr>
          <w:p>
            <w:r>
              <w:rPr>
                <w:rFonts w:ascii="Calibri" w:hAnsi="Calibri"/>
                <w:sz w:val="18"/>
              </w:rPr>
              <w:t>2987</w:t>
            </w:r>
          </w:p>
        </w:tc>
      </w:tr>
      <w:tr>
        <w:tc>
          <w:tcPr>
            <w:tcW w:type="dxa" w:w="2952"/>
            <w:vAlign w:val="center"/>
          </w:tcPr>
          <w:p>
            <w:r>
              <w:rPr>
                <w:rFonts w:ascii="Calibri" w:hAnsi="Calibri"/>
                <w:sz w:val="18"/>
              </w:rPr>
              <w:t>Maximum elongation</w:t>
            </w:r>
          </w:p>
        </w:tc>
        <w:tc>
          <w:tcPr>
            <w:tcW w:type="dxa" w:w="3024"/>
            <w:vAlign w:val="center"/>
          </w:tcPr>
          <w:p>
            <w:r>
              <w:rPr>
                <w:rFonts w:ascii="Calibri" w:hAnsi="Calibri"/>
                <w:sz w:val="18"/>
              </w:rPr>
              <w:t>11.8404</w:t>
            </w:r>
          </w:p>
        </w:tc>
        <w:tc>
          <w:tcPr>
            <w:tcW w:type="dxa" w:w="3096"/>
            <w:vAlign w:val="center"/>
          </w:tcPr>
          <w:p>
            <w:r>
              <w:rPr>
                <w:rFonts w:ascii="Calibri" w:hAnsi="Calibri"/>
                <w:sz w:val="18"/>
              </w:rPr>
              <w:t>12.3811</w:t>
            </w:r>
          </w:p>
        </w:tc>
      </w:tr>
      <w:tr>
        <w:tc>
          <w:tcPr>
            <w:tcW w:type="dxa" w:w="2952"/>
            <w:vAlign w:val="center"/>
          </w:tcPr>
          <w:p>
            <w:r>
              <w:rPr>
                <w:rFonts w:ascii="Calibri" w:hAnsi="Calibri"/>
                <w:sz w:val="18"/>
              </w:rPr>
              <w:t>Central exclusion</w:t>
            </w:r>
          </w:p>
        </w:tc>
        <w:tc>
          <w:tcPr>
            <w:tcW w:type="dxa" w:w="3024"/>
            <w:vAlign w:val="center"/>
          </w:tcPr>
          <w:p>
            <w:r>
              <w:rPr>
                <w:rFonts w:ascii="Calibri" w:hAnsi="Calibri"/>
                <w:sz w:val="18"/>
              </w:rPr>
              <w:t>8 pixels</w:t>
            </w:r>
          </w:p>
        </w:tc>
        <w:tc>
          <w:tcPr>
            <w:tcW w:type="dxa" w:w="3096"/>
            <w:vAlign w:val="center"/>
          </w:tcPr>
          <w:p>
            <w:r>
              <w:rPr>
                <w:rFonts w:ascii="Calibri" w:hAnsi="Calibri"/>
                <w:sz w:val="18"/>
              </w:rPr>
              <w:t>8 pixels</w:t>
            </w:r>
          </w:p>
        </w:tc>
      </w:tr>
    </w:tbl>
    <w:p/>
    <w:p>
      <w:pPr>
        <w:pStyle w:val="Heading1"/>
        <w:keepNext/>
      </w:pPr>
      <w:r>
        <w:t>8. Final 182-galaxy evaluation</w:t>
      </w:r>
    </w:p>
    <w:p>
      <w:r>
        <w:t>The selected configurations were applied to all 182 galaxies. The matched comparison reconstructs identical toys and evaluates the final mask, not the incremental tuning mask; it therefore reflects the production-style output.</w:t>
      </w:r>
    </w:p>
    <w:p>
      <w:pPr>
        <w:pStyle w:val="ListBullet"/>
      </w:pPr>
      <w:r>
        <w:t>Six matched toys per galaxy; seed 202608299; truth dilation one pixel.</w:t>
      </w:r>
    </w:p>
    <w:p>
      <w:pPr>
        <w:pStyle w:val="ListBullet"/>
      </w:pPr>
      <w:r>
        <w:t>Outputs include total masked fraction, toy recall, per-toy detection, toy-associated precision, F1, non-toy mask, segments and runtime.</w:t>
      </w:r>
    </w:p>
    <w:p>
      <w:pPr>
        <w:pStyle w:val="ListBullet"/>
      </w:pPr>
      <w:r>
        <w:t>Eight-panel PNGs show original, original plus toys, mask, recovered image, original/processed isophotes and bar-major profiles.</w:t>
      </w:r>
    </w:p>
    <w:p>
      <w:pPr>
        <w:pStyle w:val="ListBullet"/>
      </w:pPr>
      <w:r>
        <w:t>Processed profile gaps use the established log-linear bridge.</w:t>
      </w:r>
    </w:p>
    <w:p>
      <w:pPr>
        <w:pStyle w:val="ListBullet"/>
      </w:pPr>
      <w:r>
        <w:t>The 40 calibration galaxies retain the suffix _clean.</w:t>
      </w:r>
    </w:p>
    <w:p>
      <w:pPr>
        <w:pStyle w:val="Heading1"/>
        <w:keepNext/>
      </w:pPr>
      <w:r>
        <w:t>9. Interpretation limits</w:t>
      </w:r>
    </w:p>
    <w:p>
      <w:pPr>
        <w:pStyle w:val="ListBullet"/>
      </w:pPr>
      <w:r>
        <w:t>Synthetic truth does not reproduce every real foreground morphology or brightness distribution.</w:t>
      </w:r>
    </w:p>
    <w:p>
      <w:pPr>
        <w:pStyle w:val="ListBullet"/>
      </w:pPr>
      <w:r>
        <w:t>High toy recall does not itself prove preservation of galaxy structure; mask extent and visual diagnostics remain necessary.</w:t>
      </w:r>
    </w:p>
    <w:p>
      <w:pPr>
        <w:pStyle w:val="ListBullet"/>
      </w:pPr>
      <w:r>
        <w:t>Toy-associated precision is low when algorithms also mask real objects already present, because truth labels cover injected toys only.</w:t>
      </w:r>
    </w:p>
    <w:p>
      <w:pPr>
        <w:pStyle w:val="ListBullet"/>
      </w:pPr>
      <w:r>
        <w:t>Cross-validation and final metrics use incremental and final masks respectively and are not directly interchangeable.</w:t>
      </w:r>
    </w:p>
    <w:p>
      <w:pPr>
        <w:pStyle w:val="ListBullet"/>
      </w:pPr>
      <w:r>
        <w:t>The separate 20-80 sigma bright-toy MTObjects sensitivity experiment is excluded.</w:t>
      </w:r>
    </w:p>
    <w:p>
      <w:pPr>
        <w:pStyle w:val="Heading1"/>
        <w:keepNext/>
      </w:pPr>
      <w:r>
        <w:t>10. Authoritative sources</w:t>
      </w:r>
    </w:p>
    <w:p>
      <w:r>
        <w:t>SEP optimisation: D:\Dropbox\Public Documents\UCLAN\MSc Research\Remove foreground objects\sep toy cross validation\20260817_161404</w:t>
        <w:br/>
        <w:t>MTObjects optimisation: D:\Dropbox\Public Documents\UCLAN\MSc Research\Remove foreground objects\mtobjects toy recovery followup\20260816_063455</w:t>
        <w:br/>
        <w:t>Matched statistics: D:\Dropbox\Public Documents\UCLAN\MSc Research\Remove foreground objects\documentation\Toy Objects SEP vs MTObjects Statistical Comparison.xlsx</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5555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Calibri" w:hAnsi="Calibri"/>
      <w:b/>
      <w:color w:val="0B254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