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color w:val="2E74B5"/>
          <w:sz w:val="20"/>
        </w:rPr>
        <w:t>TECHNICAL FINDINGS</w:t>
      </w:r>
    </w:p>
    <w:p>
      <w:pPr>
        <w:spacing w:after="80"/>
      </w:pPr>
      <w:r>
        <w:rPr>
          <w:rFonts w:ascii="Calibri" w:hAnsi="Calibri"/>
          <w:b/>
          <w:color w:val="1F4D78"/>
          <w:sz w:val="50"/>
        </w:rPr>
        <w:t>SEP Failure-Mode Analysis</w:t>
      </w:r>
    </w:p>
    <w:p>
      <w:pPr>
        <w:spacing w:after="280"/>
      </w:pPr>
      <w:r>
        <w:rPr>
          <w:rFonts w:ascii="Calibri" w:hAnsi="Calibri"/>
          <w:color w:val="666666"/>
          <w:sz w:val="25"/>
        </w:rPr>
        <w:t>Haigh-aligned foreground-object experiment: 1.5× Sérsic-galaxy scale, unchanged IRAC-PSF stars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Analysis basis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Value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Science sample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22 visually clean S4G galaxy frames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Saved injections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 training seeds + 2 validation seeds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Toy population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375 sources: 263 stars and 112 Sérsic galaxies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SEP candidate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Best diagnostic candidate from held-out fold 20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Report generated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 September 2026, 17:48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A61B1B"/>
              </w:rPr>
              <w:t xml:space="preserve">Principal finding: </w:t>
            </w:r>
            <w:r>
              <w:rPr>
                <w:rFonts w:ascii="Calibri" w:hAnsi="Calibri"/>
              </w:rPr>
              <w:t>SEP is missing both source classes, with Sérsic galaxies performing worst. The dominant failure is component merging with target-galaxy emission, followed by rejection under the maximum-area and protected-centre filters—not inadequate toy brightness.</w:t>
            </w:r>
          </w:p>
        </w:tc>
      </w:tr>
    </w:tbl>
    <w:p>
      <w:pPr>
        <w:spacing w:after="20"/>
      </w:pPr>
    </w:p>
    <w:p>
      <w:pPr>
        <w:pStyle w:val="Heading1"/>
      </w:pPr>
      <w:r>
        <w:t>1. Question and analytical approach</w:t>
      </w:r>
    </w:p>
    <w:p>
      <w:r>
        <w:t>The analysis asked whether SEP’s failed optimisation was caused primarily by stars, Sérsic galaxies, brightness, morphology, placement, or post-extraction filtering. The audit reapplied the best diagnostic parameter set to every saved injection in all five seed sets. Each toy was followed through four stages: raw SEP segmentation, component filtering, final dilation, and subtraction of the baseline mask.</w:t>
      </w:r>
    </w:p>
    <w:p>
      <w:pPr>
        <w:pStyle w:val="ListBullet"/>
        <w:spacing w:after="100" w:line="280" w:lineRule="auto"/>
      </w:pPr>
      <w:r>
        <w:t>Toy detection means that at least 50% of that toy’s truth pixels were newly masked relative to the uninjected baseline.</w:t>
      </w:r>
    </w:p>
    <w:p>
      <w:pPr>
        <w:pStyle w:val="ListBullet"/>
        <w:spacing w:after="100" w:line="280" w:lineRule="auto"/>
      </w:pPr>
      <w:r>
        <w:t>Local background was measured from the original uninjected frame and expressed relative to the outer-field robust noise estimate.</w:t>
      </w:r>
    </w:p>
    <w:p>
      <w:pPr>
        <w:pStyle w:val="ListBullet"/>
        <w:spacing w:after="100" w:line="280" w:lineRule="auto"/>
      </w:pPr>
      <w:r>
        <w:t>Distance was normalised by the equivalent radius of the displayed analysis frame; it is a placement diagnostic, not a physical galactocentric radius.</w:t>
      </w:r>
    </w:p>
    <w:p>
      <w:r>
        <w:br w:type="page"/>
      </w:r>
    </w:p>
    <w:p>
      <w:pPr>
        <w:pStyle w:val="Heading1"/>
      </w:pPr>
      <w:r>
        <w:t>2. Recovery by source class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900"/>
        <w:gridCol w:w="1650"/>
        <w:gridCol w:w="1650"/>
        <w:gridCol w:w="1860"/>
      </w:tblGrid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Source class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n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Detection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Mean recall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Median recall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IRAC-PSF stars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263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45.6%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45.5%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PSF-convolved Sérsic galaxies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33.0%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32.2%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806440" cy="2983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_re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8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8"/>
        </w:rPr>
        <w:t>Figure 1. Per-toy recovery for the best diagnostic SEP parameter set across all five saved seed sets.</w:t>
      </w:r>
    </w:p>
    <w:p>
      <w:r>
        <w:t>Stars are recovered about 12.6 percentage points more often than Sérsic galaxies, but neither class reaches the required 50% detection rate. The zero median for both classes indicates a largely bimodal process: many toys are substantially recovered, while at least half receive no incremental masking at all.</w:t>
      </w:r>
    </w:p>
    <w:p>
      <w:pPr>
        <w:pStyle w:val="Heading1"/>
      </w:pPr>
      <w:r>
        <w:t>3. Where the toys are lost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200"/>
        <w:gridCol w:w="1320"/>
        <w:gridCol w:w="1500"/>
        <w:gridCol w:w="1440"/>
      </w:tblGrid>
      <w:tr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Outcome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Stars n</w:t>
            </w:r>
          </w:p>
        </w:tc>
        <w:tc>
          <w:tcPr>
            <w:tcW w:type="dxa" w:w="1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Stars %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Galaxies n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Galaxies 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Recovered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33.0%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Not extracted / raw overlap &lt;50%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6.2%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Rejected: maximum area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6.5%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8.0%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Rejected: protected-centre centroid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3.6%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Rejected: both area and centre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48.2%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Removed by baseline-overlap rule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0.9%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806440" cy="3181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1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8"/>
        </w:rPr>
        <w:t>Figure 2. Classification of each toy at the point where recovery succeeded or failed.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A6700"/>
              </w:rPr>
              <w:t xml:space="preserve">Mechanism: </w:t>
            </w:r>
            <w:r>
              <w:rPr>
                <w:rFonts w:ascii="Calibri" w:hAnsi="Calibri"/>
              </w:rPr>
              <w:t>For 132 of 263 stars and 58 of 112 galaxies, SEP initially extracted a component at the toy position but later rejected it because the component was too large and/or its centroid lay inside the protected centre. Since toys were not placed in the nucleus, a protected-centre rejection generally means the toy segment merged with target-galaxy structure and inherited a centroid closer to the galaxy centre.</w:t>
            </w:r>
          </w:p>
        </w:tc>
      </w:tr>
    </w:tbl>
    <w:p>
      <w:pPr>
        <w:spacing w:after="20"/>
      </w:pPr>
    </w:p>
    <w:p>
      <w:r>
        <w:t>Only 18 of 375 toys failed primarily because SEP did not extract or sufficiently segment them. This makes a simple increase in brightness or detection aggressiveness unlikely to solve the principal problem. Increasing aggressiveness can instead enlarge and connect components, worsening the area/centre rejection and masking burden.</w:t>
      </w:r>
    </w:p>
    <w:p>
      <w:pPr>
        <w:pStyle w:val="Heading1"/>
      </w:pPr>
      <w:r>
        <w:t>4. Brightness and morphology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1080"/>
        <w:gridCol w:w="1320"/>
        <w:gridCol w:w="1440"/>
        <w:gridCol w:w="1080"/>
        <w:gridCol w:w="1500"/>
        <w:gridCol w:w="1680"/>
      </w:tblGrid>
      <w:tr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Peak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Stars n</w:t>
            </w:r>
          </w:p>
        </w:tc>
        <w:tc>
          <w:tcPr>
            <w:tcW w:type="dxa" w:w="1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Stars det.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Stars recall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Gal. n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Gal. det.</w:t>
            </w:r>
          </w:p>
        </w:tc>
        <w:tc>
          <w:tcPr>
            <w:tcW w:type="dxa" w:w="1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Gal. recall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9–18σ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52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36.5%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35.5%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37.5%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37.2%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18–30σ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101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47.5%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47.7%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35.6%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33.0%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30–46σ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48.2%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48.2%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27.9%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28.7%</w:t>
            </w:r>
          </w:p>
        </w:tc>
      </w:tr>
    </w:tbl>
    <w:p>
      <w:pPr>
        <w:spacing w:after="40"/>
      </w:pPr>
    </w:p>
    <w:p>
      <w:r>
        <w:t>Star recovery improves from the faintest bin and then plateaus. Galaxy recovery declines in the brightest bin. This counter-intuitive galaxy result is consistent with brighter extended wings making a source more likely to connect to surrounding galaxy emission, rather than with an insufficient signal-to-noise ratio.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900"/>
        <w:gridCol w:w="2100"/>
        <w:gridCol w:w="23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Factor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Bin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n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Detection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Mean recall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Effective radius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&lt;1.5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36.4%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32.2%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Effective radius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1.5–3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34.2%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34.2%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Effective radius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3–4.5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35.3%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36.3%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Effective radius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&gt;4.5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22.2%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20.5%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Sérsic index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2–2.5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32.3%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32.0%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Sérsic index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2.5–3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55.6%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53.9%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Sérsic index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3–3.5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32.1%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32.4%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Sérsic index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3.5–4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11.5%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9.8%</w:t>
            </w:r>
          </w:p>
        </w:tc>
      </w:tr>
    </w:tbl>
    <w:p>
      <w:pPr>
        <w:spacing w:after="40"/>
      </w:pPr>
    </w:p>
    <w:p>
      <w:r>
        <w:t>The largest galaxies (&gt;4.5 arcsec effective radius after scaling) have only 22.2% detection. High-concentration sources with Sérsic index 3.5–4 perform worst at 11.5%. Axis ratio shows no comparable monotonic effect, so elongation is not the primary morphology driver in this experiment.</w:t>
      </w:r>
    </w:p>
    <w:p>
      <w:pPr>
        <w:pStyle w:val="Heading1"/>
      </w:pPr>
      <w:r>
        <w:t>5. Placement and local environment</w:t>
      </w:r>
    </w:p>
    <w:p>
      <w:r>
        <w:drawing>
          <wp:inline xmlns:a="http://schemas.openxmlformats.org/drawingml/2006/main" xmlns:pic="http://schemas.openxmlformats.org/drawingml/2006/picture">
            <wp:extent cx="4983480" cy="4291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det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29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8"/>
        </w:rPr>
        <w:t>Figure 3. Detection rates by Sérsic morphology and by two environment diagnostics. Bin counts are shown above each bar.</w:t>
      </w:r>
    </w:p>
    <w:p>
      <w:r>
        <w:t>Recovery is strongly location-dependent even though all toy centres were restricted to the designated quiet-placement region. Detection rises from 21.2% inside a normalised distance of 0.5 to 58.7% beyond 1.0. It falls from 67.8% in the lowest local-background bin to 33.0% where the original local background is more than 0.5σ above the outer-field median.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 xml:space="preserve">Interpretation: </w:t>
            </w:r>
            <w:r>
              <w:rPr>
                <w:rFonts w:ascii="Calibri" w:hAnsi="Calibri"/>
              </w:rPr>
              <w:t>The quiet-placement rule removes obvious target structure and pre-existing compact sources, but faint connected galaxy emission remains. SEP’s segmentation can bridge from the injected source through that low-level emission toward the target. This explains why a toy can be physically outside the protected nucleus yet be rejected as a centre-associated component.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Cross-validation feasibility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1680"/>
        <w:gridCol w:w="1680"/>
        <w:gridCol w:w="1800"/>
      </w:tblGrid>
      <w:tr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Across 22 fold candidates</w:t>
            </w:r>
          </w:p>
        </w:tc>
        <w:tc>
          <w:tcPr>
            <w:tcW w:type="dxa" w:w="1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Minimum</w:t>
            </w:r>
          </w:p>
        </w:tc>
        <w:tc>
          <w:tcPr>
            <w:tcW w:type="dxa" w:w="1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Maximum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Required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All-22 toy detection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20.0%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40.0%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≥50%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All-22 mean toy recall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18.7%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37.3%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≥30%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All-22 mean displayed-frame mask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17.0%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31.4%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Minimise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Worst displayed-frame mask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50.8%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82.9%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15% control</w:t>
            </w:r>
          </w:p>
        </w:tc>
      </w:tr>
    </w:tbl>
    <w:p>
      <w:pPr>
        <w:spacing w:after="40"/>
      </w:pPr>
    </w:p>
    <w:p>
      <w:r>
        <w:t>No candidate achieved 50% toy detection. The best diagnostic candidate reached 40.0% detection and 37.3% mean toy recall, but masked 31.4% of the displayed frame on average and 82.9% in the worst case. The rejection is therefore scientifically appropriate.</w:t>
      </w:r>
    </w:p>
    <w:p>
      <w:pPr>
        <w:pStyle w:val="Heading1"/>
      </w:pPr>
      <w:r>
        <w:t>7. Conclusions and recommended experiments</w:t>
      </w:r>
    </w:p>
    <w:p>
      <w:pPr>
        <w:pStyle w:val="ListBullet"/>
        <w:spacing w:after="100" w:line="280" w:lineRule="auto"/>
      </w:pPr>
      <w:r>
        <w:t>Treat component merging—not toy faintness—as the primary SEP failure mode. Further brightness increases are not recommended.</w:t>
      </w:r>
    </w:p>
    <w:p>
      <w:pPr>
        <w:pStyle w:val="ListBullet"/>
        <w:spacing w:after="100" w:line="280" w:lineRule="auto"/>
      </w:pPr>
      <w:r>
        <w:t>Test detection on a Gaussian residual or another target-suppressed image while applying the resulting mask to the original image. This directly addresses bridges through smooth target-galaxy light.</w:t>
      </w:r>
    </w:p>
    <w:p>
      <w:pPr>
        <w:pStyle w:val="ListBullet"/>
        <w:spacing w:after="100" w:line="280" w:lineRule="auto"/>
      </w:pPr>
      <w:r>
        <w:t>Audit deblending before relaxing maximum-area or protected-centre rules. Relaxing those filters alone would admit the very large galaxy-connected components responsible for 17–83% frame masking.</w:t>
      </w:r>
    </w:p>
    <w:p>
      <w:pPr>
        <w:pStyle w:val="ListBullet"/>
        <w:spacing w:after="100" w:line="280" w:lineRule="auto"/>
      </w:pPr>
      <w:r>
        <w:t>Retain quiet-region placement for the controlled optimisation, then add a separate stratified challenge set covering quiet background, faint outer structure and moderate target structure. Do not distribute toys uniformly over the entire frame or protected nucleus.</w:t>
      </w:r>
    </w:p>
    <w:p>
      <w:pPr>
        <w:pStyle w:val="ListBullet"/>
        <w:spacing w:after="100" w:line="280" w:lineRule="auto"/>
      </w:pPr>
      <w:r>
        <w:t>If additional statistical power is needed, add reproducible seeds rather than increasing the number of toys per frame. Use a balanced diagnostic seed set while preserving the scientifically motivated star/galaxy mixture in the primary experiment.</w:t>
      </w:r>
    </w:p>
    <w:p>
      <w:pPr>
        <w:pStyle w:val="ListBullet"/>
        <w:spacing w:after="100" w:line="280" w:lineRule="auto"/>
      </w:pPr>
      <w:r>
        <w:t>Report and gate stars and galaxies separately so stronger star recovery cannot conceal poor galaxy recovery.</w:t>
      </w:r>
    </w:p>
    <w:p>
      <w:r>
        <w:br w:type="page"/>
      </w:r>
    </w:p>
    <w:p>
      <w:pPr>
        <w:pStyle w:val="Heading1"/>
      </w:pPr>
      <w:r>
        <w:t>8. Interim MTObjects indication (provisional)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Metric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Interim result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Completed folds at snapshot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8 / 22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Candidates marked feasible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8 / 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All-22 toy detection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mean 62.6%; range 59.3%–65.3%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All-22 mean toy recall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mean 58.4%; range 54.9%–60.8%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Mean displayed-frame mask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mean 7.6%; range 5.8%–8.7%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Worst-case mask by candidate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range 14.4%–19.2%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Held-out toy detection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mean 76.2%; range 40.0%–100.0%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207A46"/>
              </w:rPr>
              <w:t xml:space="preserve">Interim assessment: </w:t>
            </w:r>
            <w:r>
              <w:rPr>
                <w:rFonts w:ascii="Calibri" w:hAnsi="Calibri"/>
              </w:rPr>
              <w:t>MTObjects is currently materially stronger than SEP: its completed-fold candidates exceed the 50% all-22 detection and 30% recall gates while maintaining much lower mean masking. Held-out performance is variable, so the conclusion remains provisional until all 22 folds and final winner selection are complete.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A. Reproducibility and definitions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40"/>
        <w:gridCol w:w="6720"/>
      </w:tblGrid>
      <w:tr>
        <w:tc>
          <w:tcPr>
            <w:tcW w:type="dxa" w:w="2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Item</w:t>
            </w:r>
          </w:p>
        </w:tc>
        <w:tc>
          <w:tcPr>
            <w:tcW w:type="dxa" w:w="6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Definition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Experiment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bright150_galaxy150: 9–45σ peaks; star PSF unchanged; Sérsic-galaxy scale increased by 50%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Analysis population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All 375 materialised toys from training seeds 1–3 and validation seeds 1–2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Best diagnostic SEP parameters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{"back_size": 32, "deblend_cont": 0.0014666576973694112, "deblend_nthresh": 64, "detect_on": "original", "detect_thresh": 1.580981157797608, "dilation_radius": 6, "exclude_center_pixels": 8.0, "filter_size": 1, "max_area": 7541, "max_elongation": 27.314079662563053, "minarea": 7}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Raw recall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Fraction of toy truth pixels belonging to any raw SEP segment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Filtered recall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Fraction remaining after maximum-area, elongation and protected-centre component filtering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Incremental recall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Fraction newly masked after removing pixels already masked in the uninjected baseline</w:t>
            </w:r>
          </w:p>
        </w:tc>
      </w:tr>
      <w:tr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Local-background z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9×9-pixel local median minus outer-field median, divided by outer-field robust σ</w:t>
            </w:r>
          </w:p>
        </w:tc>
      </w:tr>
    </w:tbl>
    <w:p>
      <w:pPr>
        <w:spacing w:after="40"/>
      </w:pPr>
    </w:p>
    <w:p>
      <w:r>
        <w:t>The detailed per-toy audit is retained as sep_galaxy150_per_toy_recovery.csv, and the reproducible audit code is analyse_sep_toy_type_recovery.py in the Optimisation folder.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SEP failure-mode analysis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Foreground Masking Research | Technical Findings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 Failure-Mode Analysis – Haigh-Aligned Galaxy150 Experiment</dc:title>
  <dc:subject>Foreground-object masking optimisation</dc:subject>
  <dc:creator>MSc Research – Foreground Masking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