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Euclid MER VIS galaxy geometry outcomes</w:t>
      </w:r>
    </w:p>
    <w:p>
      <w:r>
        <w:t>Current results 20 October 2026</w:t>
        <w:br/>
        <w:t>Adaptive Photutils pipeline with image-based centre checks</w:t>
      </w:r>
    </w:p>
    <w:p>
      <w:r>
        <w:t>The sample contains 2,777 galaxy cutouts. Disc geometry is available for 2773 galaxies; 4 have no adopted geometry. A returned measurement is provisional: the selected light contours still need physical interpretation as disc or bar.</w:t>
      </w:r>
    </w:p>
    <w:p>
      <w:pPr>
        <w:pStyle w:val="Heading2"/>
      </w:pPr>
      <w:r>
        <w:t>Current measurements</w:t>
      </w:r>
    </w:p>
    <w:tbl>
      <w:tblPr>
        <w:tblStyle w:val="LightShading-Accent1"/>
        <w:tblW w:type="auto" w:w="0"/>
        <w:tblLook w:firstColumn="1" w:firstRow="1" w:lastColumn="0" w:lastRow="0" w:noHBand="0" w:noVBand="1" w:val="04A0"/>
      </w:tblPr>
      <w:tblGrid>
        <w:gridCol w:w="3298"/>
        <w:gridCol w:w="3298"/>
        <w:gridCol w:w="3298"/>
      </w:tblGrid>
      <w:tr>
        <w:trPr>
          <w:cantSplit/>
        </w:trPr>
        <w:tc>
          <w:tcPr>
            <w:tcW w:type="dxa" w:w="3298"/>
          </w:tcPr>
          <w:p>
            <w:pPr>
              <w:spacing w:after="80"/>
            </w:pPr>
            <w:r>
              <w:rPr>
                <w:sz w:val="18"/>
              </w:rPr>
              <w:t>Result</w:t>
            </w:r>
          </w:p>
        </w:tc>
        <w:tc>
          <w:tcPr>
            <w:tcW w:type="dxa" w:w="3298"/>
          </w:tcPr>
          <w:p>
            <w:pPr>
              <w:spacing w:after="80"/>
            </w:pPr>
            <w:r>
              <w:rPr>
                <w:sz w:val="18"/>
              </w:rPr>
              <w:t>Galaxies</w:t>
            </w:r>
          </w:p>
        </w:tc>
        <w:tc>
          <w:tcPr>
            <w:tcW w:type="dxa" w:w="3298"/>
          </w:tcPr>
          <w:p>
            <w:pPr>
              <w:spacing w:after="80"/>
            </w:pPr>
            <w:r>
              <w:rPr>
                <w:sz w:val="18"/>
              </w:rPr>
              <w:t>Share of all 2777</w:t>
            </w:r>
          </w:p>
        </w:tc>
      </w:tr>
      <w:tr>
        <w:trPr>
          <w:cantSplit/>
        </w:trPr>
        <w:tc>
          <w:tcPr>
            <w:tcW w:type="dxa" w:w="3298"/>
          </w:tcPr>
          <w:p>
            <w:pPr>
              <w:spacing w:after="80"/>
            </w:pPr>
            <w:r>
              <w:rPr>
                <w:sz w:val="18"/>
              </w:rPr>
              <w:t>Disc geometry returned</w:t>
            </w:r>
          </w:p>
        </w:tc>
        <w:tc>
          <w:tcPr>
            <w:tcW w:type="dxa" w:w="3298"/>
          </w:tcPr>
          <w:p>
            <w:r>
              <w:t>2773</w:t>
            </w:r>
          </w:p>
        </w:tc>
        <w:tc>
          <w:tcPr>
            <w:tcW w:type="dxa" w:w="3298"/>
          </w:tcPr>
          <w:p>
            <w:r>
              <w:t>99.9%</w:t>
            </w:r>
          </w:p>
        </w:tc>
      </w:tr>
      <w:tr>
        <w:trPr>
          <w:cantSplit/>
        </w:trPr>
        <w:tc>
          <w:tcPr>
            <w:tcW w:type="dxa" w:w="3298"/>
          </w:tcPr>
          <w:p>
            <w:pPr>
              <w:spacing w:after="80"/>
            </w:pPr>
            <w:r>
              <w:rPr>
                <w:sz w:val="18"/>
              </w:rPr>
              <w:t>No counted geometry flags</w:t>
            </w:r>
          </w:p>
        </w:tc>
        <w:tc>
          <w:tcPr>
            <w:tcW w:type="dxa" w:w="3298"/>
          </w:tcPr>
          <w:p>
            <w:r>
              <w:t>93</w:t>
            </w:r>
          </w:p>
        </w:tc>
        <w:tc>
          <w:tcPr>
            <w:tcW w:type="dxa" w:w="3298"/>
          </w:tcPr>
          <w:p>
            <w:r>
              <w:t>3.3%</w:t>
            </w:r>
          </w:p>
        </w:tc>
      </w:tr>
      <w:tr>
        <w:trPr>
          <w:cantSplit/>
        </w:trPr>
        <w:tc>
          <w:tcPr>
            <w:tcW w:type="dxa" w:w="3298"/>
          </w:tcPr>
          <w:p>
            <w:pPr>
              <w:spacing w:after="80"/>
            </w:pPr>
            <w:r>
              <w:rPr>
                <w:sz w:val="18"/>
              </w:rPr>
              <w:t>Returned geometry with flags</w:t>
            </w:r>
          </w:p>
        </w:tc>
        <w:tc>
          <w:tcPr>
            <w:tcW w:type="dxa" w:w="3298"/>
          </w:tcPr>
          <w:p>
            <w:r>
              <w:t>2680</w:t>
            </w:r>
          </w:p>
        </w:tc>
        <w:tc>
          <w:tcPr>
            <w:tcW w:type="dxa" w:w="3298"/>
          </w:tcPr>
          <w:p>
            <w:r>
              <w:t>96.5%</w:t>
            </w:r>
          </w:p>
        </w:tc>
      </w:tr>
      <w:tr>
        <w:trPr>
          <w:cantSplit/>
        </w:trPr>
        <w:tc>
          <w:tcPr>
            <w:tcW w:type="dxa" w:w="3298"/>
          </w:tcPr>
          <w:p>
            <w:pPr>
              <w:spacing w:after="80"/>
            </w:pPr>
            <w:r>
              <w:rPr>
                <w:sz w:val="18"/>
              </w:rPr>
              <w:t>Fit failed</w:t>
            </w:r>
          </w:p>
        </w:tc>
        <w:tc>
          <w:tcPr>
            <w:tcW w:type="dxa" w:w="3298"/>
          </w:tcPr>
          <w:p>
            <w:r>
              <w:t>4</w:t>
            </w:r>
          </w:p>
        </w:tc>
        <w:tc>
          <w:tcPr>
            <w:tcW w:type="dxa" w:w="3298"/>
          </w:tcPr>
          <w:p>
            <w:r>
              <w:t>0.1%</w:t>
            </w:r>
          </w:p>
        </w:tc>
      </w:tr>
    </w:tbl>
    <w:p>
      <w:pPr>
        <w:spacing w:after="0"/>
      </w:pPr>
    </w:p>
    <w:p>
      <w:pPr>
        <w:pStyle w:val="Heading2"/>
      </w:pPr>
      <w:r>
        <w:t>Disc and bar outcomes are separate</w:t>
      </w:r>
    </w:p>
    <w:tbl>
      <w:tblPr>
        <w:tblStyle w:val="LightShading-Accent1"/>
        <w:tblW w:type="auto" w:w="0"/>
        <w:tblLook w:firstColumn="1" w:firstRow="1" w:lastColumn="0" w:lastRow="0" w:noHBand="0" w:noVBand="1" w:val="04A0"/>
      </w:tblPr>
      <w:tblGrid>
        <w:gridCol w:w="4946"/>
        <w:gridCol w:w="4946"/>
      </w:tblGrid>
      <w:tr>
        <w:trPr>
          <w:cantSplit/>
        </w:trPr>
        <w:tc>
          <w:tcPr>
            <w:tcW w:type="dxa" w:w="4946"/>
          </w:tcPr>
          <w:p>
            <w:pPr>
              <w:spacing w:after="80"/>
            </w:pPr>
            <w:r>
              <w:rPr>
                <w:sz w:val="18"/>
              </w:rPr>
              <w:t>Bar outcome</w:t>
            </w:r>
          </w:p>
        </w:tc>
        <w:tc>
          <w:tcPr>
            <w:tcW w:type="dxa" w:w="4946"/>
          </w:tcPr>
          <w:p>
            <w:pPr>
              <w:spacing w:after="80"/>
            </w:pPr>
            <w:r>
              <w:rPr>
                <w:sz w:val="18"/>
              </w:rPr>
              <w:t>Galaxies</w:t>
            </w:r>
          </w:p>
        </w:tc>
      </w:tr>
      <w:tr>
        <w:trPr>
          <w:cantSplit/>
        </w:trPr>
        <w:tc>
          <w:tcPr>
            <w:tcW w:type="dxa" w:w="4946"/>
          </w:tcPr>
          <w:p>
            <w:pPr>
              <w:spacing w:after="80"/>
            </w:pPr>
            <w:r>
              <w:rPr>
                <w:sz w:val="18"/>
              </w:rPr>
              <w:t>no_bar_detected</w:t>
            </w:r>
          </w:p>
        </w:tc>
        <w:tc>
          <w:tcPr>
            <w:tcW w:type="dxa" w:w="4946"/>
          </w:tcPr>
          <w:p>
            <w:pPr>
              <w:spacing w:after="80"/>
            </w:pPr>
            <w:r>
              <w:rPr>
                <w:sz w:val="18"/>
              </w:rPr>
              <w:t>453</w:t>
            </w:r>
          </w:p>
        </w:tc>
      </w:tr>
      <w:tr>
        <w:trPr>
          <w:cantSplit/>
        </w:trPr>
        <w:tc>
          <w:tcPr>
            <w:tcW w:type="dxa" w:w="4946"/>
          </w:tcPr>
          <w:p>
            <w:pPr>
              <w:spacing w:after="80"/>
            </w:pPr>
            <w:r>
              <w:rPr>
                <w:sz w:val="18"/>
              </w:rPr>
              <w:t>detected_A</w:t>
            </w:r>
          </w:p>
        </w:tc>
        <w:tc>
          <w:tcPr>
            <w:tcW w:type="dxa" w:w="4946"/>
          </w:tcPr>
          <w:p>
            <w:pPr>
              <w:spacing w:after="80"/>
            </w:pPr>
            <w:r>
              <w:rPr>
                <w:sz w:val="18"/>
              </w:rPr>
              <w:t>2089</w:t>
            </w:r>
          </w:p>
        </w:tc>
      </w:tr>
      <w:tr>
        <w:trPr>
          <w:cantSplit/>
        </w:trPr>
        <w:tc>
          <w:tcPr>
            <w:tcW w:type="dxa" w:w="4946"/>
          </w:tcPr>
          <w:p>
            <w:pPr>
              <w:spacing w:after="80"/>
            </w:pPr>
            <w:r>
              <w:rPr>
                <w:sz w:val="18"/>
              </w:rPr>
              <w:t>detected_B</w:t>
            </w:r>
          </w:p>
        </w:tc>
        <w:tc>
          <w:tcPr>
            <w:tcW w:type="dxa" w:w="4946"/>
          </w:tcPr>
          <w:p>
            <w:pPr>
              <w:spacing w:after="80"/>
            </w:pPr>
            <w:r>
              <w:rPr>
                <w:sz w:val="18"/>
              </w:rPr>
              <w:t>231</w:t>
            </w:r>
          </w:p>
        </w:tc>
      </w:tr>
      <w:tr>
        <w:trPr>
          <w:cantSplit/>
        </w:trPr>
        <w:tc>
          <w:tcPr>
            <w:tcW w:type="dxa" w:w="4946"/>
          </w:tcPr>
          <w:p>
            <w:pPr>
              <w:spacing w:after="80"/>
            </w:pPr>
            <w:r>
              <w:rPr>
                <w:sz w:val="18"/>
              </w:rPr>
              <w:t>not_measured</w:t>
            </w:r>
          </w:p>
        </w:tc>
        <w:tc>
          <w:tcPr>
            <w:tcW w:type="dxa" w:w="4946"/>
          </w:tcPr>
          <w:p>
            <w:pPr>
              <w:spacing w:after="80"/>
            </w:pPr>
            <w:r>
              <w:rPr>
                <w:sz w:val="18"/>
              </w:rPr>
              <w:t>4</w:t>
            </w:r>
          </w:p>
        </w:tc>
      </w:tr>
    </w:tbl>
    <w:p>
      <w:pPr>
        <w:spacing w:after="0"/>
      </w:pPr>
    </w:p>
    <w:p>
      <w:r>
        <w:t>A missing accepted bar does not discard a usable disc result. Bar PA is left blank and no_bar_detected is raised for bar-analysis review. Class A/B labels describe the ellipse-profile signature, not independent visual confirmation. A weaker accepted bar is labelled B and receives a quality flag. Bar plateaus with excessive PA variation are rejected.</w:t>
      </w:r>
    </w:p>
    <w:p>
      <w:pPr>
        <w:pStyle w:val="Heading2"/>
      </w:pPr>
      <w:r>
        <w:t>Galaxy report collection</w:t>
      </w:r>
    </w:p>
    <w:tbl>
      <w:tblPr>
        <w:tblStyle w:val="LightShading-Accent1"/>
        <w:tblW w:type="auto" w:w="0"/>
        <w:tblLook w:firstColumn="1" w:firstRow="1" w:lastColumn="0" w:lastRow="0" w:noHBand="0" w:noVBand="1" w:val="04A0"/>
      </w:tblPr>
      <w:tblGrid>
        <w:gridCol w:w="4946"/>
        <w:gridCol w:w="4946"/>
      </w:tblGrid>
      <w:tr>
        <w:trPr>
          <w:cantSplit/>
        </w:trPr>
        <w:tc>
          <w:tcPr>
            <w:tcW w:type="dxa" w:w="4946"/>
          </w:tcPr>
          <w:p>
            <w:pPr>
              <w:spacing w:after="80"/>
            </w:pPr>
            <w:r>
              <w:rPr>
                <w:sz w:val="18"/>
              </w:rPr>
              <w:t>Output</w:t>
            </w:r>
          </w:p>
        </w:tc>
        <w:tc>
          <w:tcPr>
            <w:tcW w:type="dxa" w:w="4946"/>
          </w:tcPr>
          <w:p>
            <w:pPr>
              <w:spacing w:after="80"/>
            </w:pPr>
            <w:r>
              <w:rPr>
                <w:sz w:val="18"/>
              </w:rPr>
              <w:t>Count</w:t>
            </w:r>
          </w:p>
        </w:tc>
      </w:tr>
      <w:tr>
        <w:trPr>
          <w:cantSplit/>
        </w:trPr>
        <w:tc>
          <w:tcPr>
            <w:tcW w:type="dxa" w:w="4946"/>
          </w:tcPr>
          <w:p>
            <w:pPr>
              <w:spacing w:after="80"/>
            </w:pPr>
            <w:r>
              <w:rPr>
                <w:sz w:val="18"/>
              </w:rPr>
              <w:t>PNG reports</w:t>
            </w:r>
          </w:p>
        </w:tc>
        <w:tc>
          <w:tcPr>
            <w:tcW w:type="dxa" w:w="4946"/>
          </w:tcPr>
          <w:p>
            <w:r>
              <w:t>2777</w:t>
            </w:r>
          </w:p>
        </w:tc>
      </w:tr>
      <w:tr>
        <w:trPr>
          <w:cantSplit/>
        </w:trPr>
        <w:tc>
          <w:tcPr>
            <w:tcW w:type="dxa" w:w="4946"/>
          </w:tcPr>
          <w:p>
            <w:pPr>
              <w:spacing w:after="80"/>
            </w:pPr>
            <w:r>
              <w:rPr>
                <w:sz w:val="18"/>
              </w:rPr>
              <w:t>QI reports</w:t>
            </w:r>
          </w:p>
        </w:tc>
        <w:tc>
          <w:tcPr>
            <w:tcW w:type="dxa" w:w="4946"/>
          </w:tcPr>
          <w:p>
            <w:r>
              <w:t>2694</w:t>
            </w:r>
          </w:p>
        </w:tc>
      </w:tr>
      <w:tr>
        <w:trPr>
          <w:cantSplit/>
        </w:trPr>
        <w:tc>
          <w:tcPr>
            <w:tcW w:type="dxa" w:w="4946"/>
          </w:tcPr>
          <w:p>
            <w:pPr>
              <w:spacing w:after="80"/>
            </w:pPr>
            <w:r>
              <w:rPr>
                <w:sz w:val="18"/>
              </w:rPr>
              <w:t>NoQI reports</w:t>
            </w:r>
          </w:p>
        </w:tc>
        <w:tc>
          <w:tcPr>
            <w:tcW w:type="dxa" w:w="4946"/>
          </w:tcPr>
          <w:p>
            <w:r>
              <w:t>83</w:t>
            </w:r>
          </w:p>
        </w:tc>
      </w:tr>
      <w:tr>
        <w:trPr>
          <w:cantSplit/>
        </w:trPr>
        <w:tc>
          <w:tcPr>
            <w:tcW w:type="dxa" w:w="4946"/>
          </w:tcPr>
          <w:p>
            <w:pPr>
              <w:spacing w:after="80"/>
            </w:pPr>
            <w:r>
              <w:rPr>
                <w:sz w:val="18"/>
              </w:rPr>
              <w:t>PDF batches</w:t>
            </w:r>
          </w:p>
        </w:tc>
        <w:tc>
          <w:tcPr>
            <w:tcW w:type="dxa" w:w="4946"/>
          </w:tcPr>
          <w:p>
            <w:r>
              <w:t>47</w:t>
            </w:r>
          </w:p>
        </w:tc>
      </w:tr>
      <w:tr>
        <w:trPr>
          <w:cantSplit/>
        </w:trPr>
        <w:tc>
          <w:tcPr>
            <w:tcW w:type="dxa" w:w="4946"/>
          </w:tcPr>
          <w:p>
            <w:pPr>
              <w:spacing w:after="80"/>
            </w:pPr>
            <w:r>
              <w:rPr>
                <w:sz w:val="18"/>
              </w:rPr>
              <w:t>PDF pages</w:t>
            </w:r>
          </w:p>
        </w:tc>
        <w:tc>
          <w:tcPr>
            <w:tcW w:type="dxa" w:w="4946"/>
          </w:tcPr>
          <w:p>
            <w:r>
              <w:t>463</w:t>
            </w:r>
          </w:p>
        </w:tc>
      </w:tr>
    </w:tbl>
    <w:p>
      <w:pPr>
        <w:spacing w:after="0"/>
      </w:pPr>
    </w:p>
    <w:p>
      <w:r>
        <w:t>Each PNG includes native pixels, ellipses, ellipticity and sky-PA profiles, geometry comparisons, recovery method and centre offset. PDFs separate QI and NoQI, six galaxies per page and at most 60 per batch. QI includes a counted geometry issue, a failure or partial requested coverage. Nearly face-on alone does not trigger QI.</w:t>
      </w:r>
    </w:p>
    <w:p>
      <w:r>
        <w:br w:type="page"/>
      </w:r>
    </w:p>
    <w:p>
      <w:pPr>
        <w:pStyle w:val="Heading1"/>
      </w:pPr>
      <w:r>
        <w:t>How centres are checked</w:t>
      </w:r>
    </w:p>
    <w:tbl>
      <w:tblPr>
        <w:tblStyle w:val="LightShading-Accent1"/>
        <w:tblW w:type="auto" w:w="0"/>
        <w:tblLook w:firstColumn="1" w:firstRow="1" w:lastColumn="0" w:lastRow="0" w:noHBand="0" w:noVBand="1" w:val="04A0"/>
      </w:tblPr>
      <w:tblGrid>
        <w:gridCol w:w="4946"/>
        <w:gridCol w:w="4946"/>
      </w:tblGrid>
      <w:tr>
        <w:trPr>
          <w:cantSplit/>
        </w:trPr>
        <w:tc>
          <w:tcPr>
            <w:tcW w:type="dxa" w:w="4946"/>
          </w:tcPr>
          <w:p>
            <w:pPr>
              <w:spacing w:after="80"/>
            </w:pPr>
            <w:r>
              <w:rPr>
                <w:sz w:val="18"/>
              </w:rPr>
              <w:t>Stage</w:t>
            </w:r>
          </w:p>
        </w:tc>
        <w:tc>
          <w:tcPr>
            <w:tcW w:type="dxa" w:w="4946"/>
          </w:tcPr>
          <w:p>
            <w:pPr>
              <w:spacing w:after="80"/>
            </w:pPr>
            <w:r>
              <w:rPr>
                <w:sz w:val="18"/>
              </w:rPr>
              <w:t>Adaptive v2 implementation</w:t>
            </w:r>
          </w:p>
        </w:tc>
      </w:tr>
      <w:tr>
        <w:trPr>
          <w:cantSplit/>
        </w:trPr>
        <w:tc>
          <w:tcPr>
            <w:tcW w:type="dxa" w:w="4946"/>
          </w:tcPr>
          <w:p>
            <w:pPr>
              <w:spacing w:after="80"/>
            </w:pPr>
            <w:r>
              <w:rPr>
                <w:sz w:val="18"/>
              </w:rPr>
              <w:t>Resolution</w:t>
            </w:r>
          </w:p>
        </w:tc>
        <w:tc>
          <w:tcPr>
            <w:tcW w:type="dxa" w:w="4946"/>
          </w:tcPr>
          <w:p>
            <w:pPr>
              <w:spacing w:after="80"/>
            </w:pPr>
            <w:r>
              <w:rPr>
                <w:sz w:val="18"/>
              </w:rPr>
              <w:t>Native pixels for smaller galaxies; adaptive binning for larger targets.</w:t>
            </w:r>
          </w:p>
        </w:tc>
      </w:tr>
      <w:tr>
        <w:trPr>
          <w:cantSplit/>
        </w:trPr>
        <w:tc>
          <w:tcPr>
            <w:tcW w:type="dxa" w:w="4946"/>
          </w:tcPr>
          <w:p>
            <w:pPr>
              <w:spacing w:after="80"/>
            </w:pPr>
            <w:r>
              <w:rPr>
                <w:sz w:val="18"/>
              </w:rPr>
              <w:t>Centre</w:t>
            </w:r>
          </w:p>
        </w:tc>
        <w:tc>
          <w:tcPr>
            <w:tcW w:type="dxa" w:w="4946"/>
          </w:tcPr>
          <w:p>
            <w:pPr>
              <w:spacing w:after="80"/>
            </w:pPr>
            <w:r>
              <w:rPr>
                <w:sz w:val="18"/>
              </w:rPr>
              <w:t>Search for a nearby light peak, fit free ellipse centres, and check the median outer-disc centre and its scatter.</w:t>
            </w:r>
          </w:p>
        </w:tc>
      </w:tr>
      <w:tr>
        <w:trPr>
          <w:cantSplit/>
        </w:trPr>
        <w:tc>
          <w:tcPr>
            <w:tcW w:type="dxa" w:w="4946"/>
          </w:tcPr>
          <w:p>
            <w:pPr>
              <w:spacing w:after="80"/>
            </w:pPr>
            <w:r>
              <w:rPr>
                <w:sz w:val="18"/>
              </w:rPr>
              <w:t>Fitting</w:t>
            </w:r>
          </w:p>
        </w:tc>
        <w:tc>
          <w:tcPr>
            <w:tcW w:type="dxa" w:w="4946"/>
          </w:tcPr>
          <w:p>
            <w:pPr>
              <w:spacing w:after="80"/>
            </w:pPr>
            <w:r>
              <w:rPr>
                <w:sz w:val="18"/>
              </w:rPr>
              <w:t>Multiple starting geometries and masks; a further outer fitting attempt where useful.</w:t>
            </w:r>
          </w:p>
        </w:tc>
      </w:tr>
      <w:tr>
        <w:trPr>
          <w:cantSplit/>
        </w:trPr>
        <w:tc>
          <w:tcPr>
            <w:tcW w:type="dxa" w:w="4946"/>
          </w:tcPr>
          <w:p>
            <w:pPr>
              <w:spacing w:after="80"/>
            </w:pPr>
            <w:r>
              <w:rPr>
                <w:sz w:val="18"/>
              </w:rPr>
              <w:t>Acceptance</w:t>
            </w:r>
          </w:p>
        </w:tc>
        <w:tc>
          <w:tcPr>
            <w:tcW w:type="dxa" w:w="4946"/>
          </w:tcPr>
          <w:p>
            <w:pPr>
              <w:spacing w:after="80"/>
            </w:pPr>
            <w:r>
              <w:rPr>
                <w:sz w:val="18"/>
              </w:rPr>
              <w:t>Normal-convergence samples first. Iteration-limited samples are used only in explicitly relaxed recovery.</w:t>
            </w:r>
          </w:p>
        </w:tc>
      </w:tr>
      <w:tr>
        <w:trPr>
          <w:cantSplit/>
        </w:trPr>
        <w:tc>
          <w:tcPr>
            <w:tcW w:type="dxa" w:w="4946"/>
          </w:tcPr>
          <w:p>
            <w:pPr>
              <w:spacing w:after="80"/>
            </w:pPr>
            <w:r>
              <w:rPr>
                <w:sz w:val="18"/>
              </w:rPr>
              <w:t>Intervals</w:t>
            </w:r>
          </w:p>
        </w:tc>
        <w:tc>
          <w:tcPr>
            <w:tcW w:type="dxa" w:w="4946"/>
          </w:tcPr>
          <w:p>
            <w:pPr>
              <w:spacing w:after="80"/>
            </w:pPr>
            <w:r>
              <w:rPr>
                <w:sz w:val="18"/>
              </w:rPr>
              <w:t>Weighted axial PA over adaptive disc and stable bar ranges; labelled outer-disc fallback if needed.</w:t>
            </w:r>
          </w:p>
        </w:tc>
      </w:tr>
      <w:tr>
        <w:trPr>
          <w:cantSplit/>
        </w:trPr>
        <w:tc>
          <w:tcPr>
            <w:tcW w:type="dxa" w:w="4946"/>
          </w:tcPr>
          <w:p>
            <w:pPr>
              <w:spacing w:after="80"/>
            </w:pPr>
            <w:r>
              <w:rPr>
                <w:sz w:val="18"/>
              </w:rPr>
              <w:t>Partial success</w:t>
            </w:r>
          </w:p>
        </w:tc>
        <w:tc>
          <w:tcPr>
            <w:tcW w:type="dxa" w:w="4946"/>
          </w:tcPr>
          <w:p>
            <w:pPr>
              <w:spacing w:after="80"/>
            </w:pPr>
            <w:r>
              <w:rPr>
                <w:sz w:val="18"/>
              </w:rPr>
              <w:t>Disc geometry can be retained without an accepted bar.</w:t>
            </w:r>
          </w:p>
        </w:tc>
      </w:tr>
    </w:tbl>
    <w:p>
      <w:pPr>
        <w:spacing w:after="0"/>
      </w:pPr>
    </w:p>
    <w:p>
      <w:pPr>
        <w:pStyle w:val="Heading2"/>
      </w:pPr>
      <w:r>
        <w:t>Centre measurements and review thresholds</w:t>
      </w:r>
    </w:p>
    <w:p>
      <w:r>
        <w:t>The catalogue position is a starting reference, not an imposed final centre. Red + marks the fitted disc centre and white x the catalogue centre. The fitted centre is the median position of the selected disc ellipses. The manifest stores both zero-based pixel positions, their angular offset and the scatter of selected disc centres. A bright knot or neighbour can still mislead automated centring; the checks identify cases needing inspection.</w:t>
      </w:r>
    </w:p>
    <w:p>
      <w:r>
        <w:t>Median catalogue-to-fitted centre offset: 0.083 arcsec. Large-offset flag: offset &gt; max(0.3 arcsec, 0.15 r_seg). Unstable-centre flag: radial centre scatter &gt; max(0.3 arcsec, 0.10 r_seg). These are operational screening thresholds, not calibrated astrometric error bars.</w:t>
      </w:r>
    </w:p>
    <w:p>
      <w:r>
        <w:t>The synthetic validation used a galaxy of known centre, axis ratio and PA with an offset catalogue position. It recovered the centre to within 0.01 pixel and PA/inclination to within 0.01°. This validates the coordinate conversion and recovery on that controlled case, not every real galaxy.</w:t>
      </w:r>
    </w:p>
    <w:p>
      <w:pPr>
        <w:pStyle w:val="Heading2"/>
      </w:pPr>
      <w:r>
        <w:t>Inclination and position angle</w:t>
      </w:r>
    </w:p>
    <w:p>
      <w:r>
        <w:t>The inclination remains i = acos(b/a), with q0 = 0. Both disc and bar PA are observed sky angles from North towards East modulo 180°: North 0°, East 90°. On a North-up, East-left image this is counterclockwise. Each ellipse direction is converted through the local FITS WCS. Weighted axial means avoid averaging 179° and 1° to 90°. The bar is not yet deprojected or rotated in these reports.</w:t>
      </w:r>
    </w:p>
    <w:p>
      <w:r>
        <w:br w:type="page"/>
      </w:r>
    </w:p>
    <w:p>
      <w:pPr>
        <w:pStyle w:val="Heading1"/>
      </w:pPr>
      <w:r>
        <w:t>Quality flags and informational statistics</w:t>
      </w:r>
    </w:p>
    <w:tbl>
      <w:tblPr>
        <w:tblStyle w:val="LightShading-Accent1"/>
        <w:tblW w:type="auto" w:w="0"/>
        <w:tblLook w:firstColumn="1" w:firstRow="1" w:lastColumn="0" w:lastRow="0" w:noHBand="0" w:noVBand="1" w:val="04A0"/>
      </w:tblPr>
      <w:tblGrid>
        <w:gridCol w:w="3298"/>
        <w:gridCol w:w="3298"/>
        <w:gridCol w:w="3298"/>
      </w:tblGrid>
      <w:tr>
        <w:trPr>
          <w:cantSplit/>
        </w:trPr>
        <w:tc>
          <w:tcPr>
            <w:tcW w:type="dxa" w:w="3298"/>
          </w:tcPr>
          <w:p>
            <w:pPr>
              <w:spacing w:after="80"/>
            </w:pPr>
            <w:r>
              <w:rPr>
                <w:sz w:val="18"/>
              </w:rPr>
              <w:t>Counted issue</w:t>
            </w:r>
          </w:p>
        </w:tc>
        <w:tc>
          <w:tcPr>
            <w:tcW w:type="dxa" w:w="3298"/>
          </w:tcPr>
          <w:p>
            <w:pPr>
              <w:spacing w:after="80"/>
            </w:pPr>
            <w:r>
              <w:rPr>
                <w:sz w:val="18"/>
              </w:rPr>
              <w:t>Galaxies</w:t>
            </w:r>
          </w:p>
        </w:tc>
        <w:tc>
          <w:tcPr>
            <w:tcW w:type="dxa" w:w="3298"/>
          </w:tcPr>
          <w:p>
            <w:pPr>
              <w:spacing w:after="80"/>
            </w:pPr>
            <w:r>
              <w:rPr>
                <w:sz w:val="18"/>
              </w:rPr>
              <w:t>Share of returned fits</w:t>
            </w:r>
          </w:p>
        </w:tc>
      </w:tr>
      <w:tr>
        <w:trPr>
          <w:cantSplit/>
        </w:trPr>
        <w:tc>
          <w:tcPr>
            <w:tcW w:type="dxa" w:w="3298"/>
          </w:tcPr>
          <w:p>
            <w:r>
              <w:t>Sparse disc sampling</w:t>
            </w:r>
          </w:p>
        </w:tc>
        <w:tc>
          <w:tcPr>
            <w:tcW w:type="dxa" w:w="3298"/>
          </w:tcPr>
          <w:p>
            <w:r>
              <w:t>1669</w:t>
            </w:r>
          </w:p>
        </w:tc>
        <w:tc>
          <w:tcPr>
            <w:tcW w:type="dxa" w:w="3298"/>
          </w:tcPr>
          <w:p>
            <w:r>
              <w:t>60.2%</w:t>
            </w:r>
          </w:p>
        </w:tc>
      </w:tr>
      <w:tr>
        <w:trPr>
          <w:cantSplit/>
        </w:trPr>
        <w:tc>
          <w:tcPr>
            <w:tcW w:type="dxa" w:w="3298"/>
          </w:tcPr>
          <w:p>
            <w:r>
              <w:t>Bar identification uncertain: small interval</w:t>
            </w:r>
          </w:p>
        </w:tc>
        <w:tc>
          <w:tcPr>
            <w:tcW w:type="dxa" w:w="3298"/>
          </w:tcPr>
          <w:p>
            <w:r>
              <w:t>1447</w:t>
            </w:r>
          </w:p>
        </w:tc>
        <w:tc>
          <w:tcPr>
            <w:tcW w:type="dxa" w:w="3298"/>
          </w:tcPr>
          <w:p>
            <w:r>
              <w:t>52.2%</w:t>
            </w:r>
          </w:p>
        </w:tc>
      </w:tr>
      <w:tr>
        <w:trPr>
          <w:cantSplit/>
        </w:trPr>
        <w:tc>
          <w:tcPr>
            <w:tcW w:type="dxa" w:w="3298"/>
          </w:tcPr>
          <w:p>
            <w:r>
              <w:t>Changing disc ellipticity</w:t>
            </w:r>
          </w:p>
        </w:tc>
        <w:tc>
          <w:tcPr>
            <w:tcW w:type="dxa" w:w="3298"/>
          </w:tcPr>
          <w:p>
            <w:r>
              <w:t>1355</w:t>
            </w:r>
          </w:p>
        </w:tc>
        <w:tc>
          <w:tcPr>
            <w:tcW w:type="dxa" w:w="3298"/>
          </w:tcPr>
          <w:p>
            <w:r>
              <w:t>48.9%</w:t>
            </w:r>
          </w:p>
        </w:tc>
      </w:tr>
      <w:tr>
        <w:trPr>
          <w:cantSplit/>
        </w:trPr>
        <w:tc>
          <w:tcPr>
            <w:tcW w:type="dxa" w:w="3298"/>
          </w:tcPr>
          <w:p>
            <w:r>
              <w:t>Disc PA varies across radius</w:t>
            </w:r>
          </w:p>
        </w:tc>
        <w:tc>
          <w:tcPr>
            <w:tcW w:type="dxa" w:w="3298"/>
          </w:tcPr>
          <w:p>
            <w:r>
              <w:t>476</w:t>
            </w:r>
          </w:p>
        </w:tc>
        <w:tc>
          <w:tcPr>
            <w:tcW w:type="dxa" w:w="3298"/>
          </w:tcPr>
          <w:p>
            <w:r>
              <w:t>17.2%</w:t>
            </w:r>
          </w:p>
        </w:tc>
      </w:tr>
      <w:tr>
        <w:trPr>
          <w:cantSplit/>
        </w:trPr>
        <w:tc>
          <w:tcPr>
            <w:tcW w:type="dxa" w:w="3298"/>
          </w:tcPr>
          <w:p>
            <w:r>
              <w:t>No accepted bar; disc retained</w:t>
            </w:r>
          </w:p>
        </w:tc>
        <w:tc>
          <w:tcPr>
            <w:tcW w:type="dxa" w:w="3298"/>
          </w:tcPr>
          <w:p>
            <w:r>
              <w:t>453</w:t>
            </w:r>
          </w:p>
        </w:tc>
        <w:tc>
          <w:tcPr>
            <w:tcW w:type="dxa" w:w="3298"/>
          </w:tcPr>
          <w:p>
            <w:r>
              <w:t>16.3%</w:t>
            </w:r>
          </w:p>
        </w:tc>
      </w:tr>
      <w:tr>
        <w:trPr>
          <w:cantSplit/>
        </w:trPr>
        <w:tc>
          <w:tcPr>
            <w:tcW w:type="dxa" w:w="3298"/>
          </w:tcPr>
          <w:p>
            <w:r>
              <w:t>Small disc</w:t>
            </w:r>
          </w:p>
        </w:tc>
        <w:tc>
          <w:tcPr>
            <w:tcW w:type="dxa" w:w="3298"/>
          </w:tcPr>
          <w:p>
            <w:r>
              <w:t>298</w:t>
            </w:r>
          </w:p>
        </w:tc>
        <w:tc>
          <w:tcPr>
            <w:tcW w:type="dxa" w:w="3298"/>
          </w:tcPr>
          <w:p>
            <w:r>
              <w:t>10.7%</w:t>
            </w:r>
          </w:p>
        </w:tc>
      </w:tr>
      <w:tr>
        <w:trPr>
          <w:cantSplit/>
        </w:trPr>
        <w:tc>
          <w:tcPr>
            <w:tcW w:type="dxa" w:w="3298"/>
          </w:tcPr>
          <w:p>
            <w:r>
              <w:t>Disc interval fallback</w:t>
            </w:r>
          </w:p>
        </w:tc>
        <w:tc>
          <w:tcPr>
            <w:tcW w:type="dxa" w:w="3298"/>
          </w:tcPr>
          <w:p>
            <w:r>
              <w:t>269</w:t>
            </w:r>
          </w:p>
        </w:tc>
        <w:tc>
          <w:tcPr>
            <w:tcW w:type="dxa" w:w="3298"/>
          </w:tcPr>
          <w:p>
            <w:r>
              <w:t>9.7%</w:t>
            </w:r>
          </w:p>
        </w:tc>
      </w:tr>
      <w:tr>
        <w:trPr>
          <w:cantSplit/>
        </w:trPr>
        <w:tc>
          <w:tcPr>
            <w:tcW w:type="dxa" w:w="3298"/>
          </w:tcPr>
          <w:p>
            <w:r>
              <w:t>Weaker accepted bar signature</w:t>
            </w:r>
          </w:p>
        </w:tc>
        <w:tc>
          <w:tcPr>
            <w:tcW w:type="dxa" w:w="3298"/>
          </w:tcPr>
          <w:p>
            <w:r>
              <w:t>231</w:t>
            </w:r>
          </w:p>
        </w:tc>
        <w:tc>
          <w:tcPr>
            <w:tcW w:type="dxa" w:w="3298"/>
          </w:tcPr>
          <w:p>
            <w:r>
              <w:t>8.3%</w:t>
            </w:r>
          </w:p>
        </w:tc>
      </w:tr>
      <w:tr>
        <w:trPr>
          <w:cantSplit/>
        </w:trPr>
        <w:tc>
          <w:tcPr>
            <w:tcW w:type="dxa" w:w="3298"/>
          </w:tcPr>
          <w:p>
            <w:r>
              <w:t>Bar and disc intervals close</w:t>
            </w:r>
          </w:p>
        </w:tc>
        <w:tc>
          <w:tcPr>
            <w:tcW w:type="dxa" w:w="3298"/>
          </w:tcPr>
          <w:p>
            <w:r>
              <w:t>211</w:t>
            </w:r>
          </w:p>
        </w:tc>
        <w:tc>
          <w:tcPr>
            <w:tcW w:type="dxa" w:w="3298"/>
          </w:tcPr>
          <w:p>
            <w:r>
              <w:t>7.6%</w:t>
            </w:r>
          </w:p>
        </w:tc>
      </w:tr>
      <w:tr>
        <w:trPr>
          <w:cantSplit/>
        </w:trPr>
        <w:tc>
          <w:tcPr>
            <w:tcW w:type="dxa" w:w="3298"/>
          </w:tcPr>
          <w:p>
            <w:r>
              <w:t>Large centre offset</w:t>
            </w:r>
          </w:p>
        </w:tc>
        <w:tc>
          <w:tcPr>
            <w:tcW w:type="dxa" w:w="3298"/>
          </w:tcPr>
          <w:p>
            <w:r>
              <w:t>44</w:t>
            </w:r>
          </w:p>
        </w:tc>
        <w:tc>
          <w:tcPr>
            <w:tcW w:type="dxa" w:w="3298"/>
          </w:tcPr>
          <w:p>
            <w:r>
              <w:t>1.6%</w:t>
            </w:r>
          </w:p>
        </w:tc>
      </w:tr>
      <w:tr>
        <w:trPr>
          <w:cantSplit/>
        </w:trPr>
        <w:tc>
          <w:tcPr>
            <w:tcW w:type="dxa" w:w="3298"/>
          </w:tcPr>
          <w:p>
            <w:r>
              <w:t>Star mask removed in retry</w:t>
            </w:r>
          </w:p>
        </w:tc>
        <w:tc>
          <w:tcPr>
            <w:tcW w:type="dxa" w:w="3298"/>
          </w:tcPr>
          <w:p>
            <w:r>
              <w:t>18</w:t>
            </w:r>
          </w:p>
        </w:tc>
        <w:tc>
          <w:tcPr>
            <w:tcW w:type="dxa" w:w="3298"/>
          </w:tcPr>
          <w:p>
            <w:r>
              <w:t>0.6%</w:t>
            </w:r>
          </w:p>
        </w:tc>
      </w:tr>
      <w:tr>
        <w:trPr>
          <w:cantSplit/>
        </w:trPr>
        <w:tc>
          <w:tcPr>
            <w:tcW w:type="dxa" w:w="3298"/>
          </w:tcPr>
          <w:p>
            <w:r>
              <w:t>Relaxed recovery</w:t>
            </w:r>
          </w:p>
        </w:tc>
        <w:tc>
          <w:tcPr>
            <w:tcW w:type="dxa" w:w="3298"/>
          </w:tcPr>
          <w:p>
            <w:r>
              <w:t>13</w:t>
            </w:r>
          </w:p>
        </w:tc>
        <w:tc>
          <w:tcPr>
            <w:tcW w:type="dxa" w:w="3298"/>
          </w:tcPr>
          <w:p>
            <w:r>
              <w:t>0.5%</w:t>
            </w:r>
          </w:p>
        </w:tc>
      </w:tr>
      <w:tr>
        <w:trPr>
          <w:cantSplit/>
        </w:trPr>
        <w:tc>
          <w:tcPr>
            <w:tcW w:type="dxa" w:w="3298"/>
          </w:tcPr>
          <w:p>
            <w:r>
              <w:t>Iteration-limited samples</w:t>
            </w:r>
          </w:p>
        </w:tc>
        <w:tc>
          <w:tcPr>
            <w:tcW w:type="dxa" w:w="3298"/>
          </w:tcPr>
          <w:p>
            <w:r>
              <w:t>10</w:t>
            </w:r>
          </w:p>
        </w:tc>
        <w:tc>
          <w:tcPr>
            <w:tcW w:type="dxa" w:w="3298"/>
          </w:tcPr>
          <w:p>
            <w:r>
              <w:t>0.4%</w:t>
            </w:r>
          </w:p>
        </w:tc>
      </w:tr>
      <w:tr>
        <w:trPr>
          <w:cantSplit/>
        </w:trPr>
        <w:tc>
          <w:tcPr>
            <w:tcW w:type="dxa" w:w="3298"/>
          </w:tcPr>
          <w:p>
            <w:r>
              <w:t>Centre changes across disc</w:t>
            </w:r>
          </w:p>
        </w:tc>
        <w:tc>
          <w:tcPr>
            <w:tcW w:type="dxa" w:w="3298"/>
          </w:tcPr>
          <w:p>
            <w:r>
              <w:t>6</w:t>
            </w:r>
          </w:p>
        </w:tc>
        <w:tc>
          <w:tcPr>
            <w:tcW w:type="dxa" w:w="3298"/>
          </w:tcPr>
          <w:p>
            <w:r>
              <w:t>0.2%</w:t>
            </w:r>
          </w:p>
        </w:tc>
      </w:tr>
      <w:tr>
        <w:trPr>
          <w:cantSplit/>
        </w:trPr>
        <w:tc>
          <w:tcPr>
            <w:tcW w:type="dxa" w:w="3298"/>
          </w:tcPr>
          <w:p>
            <w:r>
              <w:t>Neighbour mask removed in recovery</w:t>
            </w:r>
          </w:p>
        </w:tc>
        <w:tc>
          <w:tcPr>
            <w:tcW w:type="dxa" w:w="3298"/>
          </w:tcPr>
          <w:p>
            <w:r>
              <w:t>2</w:t>
            </w:r>
          </w:p>
        </w:tc>
        <w:tc>
          <w:tcPr>
            <w:tcW w:type="dxa" w:w="3298"/>
          </w:tcPr>
          <w:p>
            <w:r>
              <w:t>&lt;0.1%</w:t>
            </w:r>
          </w:p>
        </w:tc>
      </w:tr>
      <w:tr>
        <w:trPr>
          <w:cantSplit/>
        </w:trPr>
        <w:tc>
          <w:tcPr>
            <w:tcW w:type="dxa" w:w="3298"/>
          </w:tcPr>
          <w:p>
            <w:r>
              <w:t>Short accepted profile</w:t>
            </w:r>
          </w:p>
        </w:tc>
        <w:tc>
          <w:tcPr>
            <w:tcW w:type="dxa" w:w="3298"/>
          </w:tcPr>
          <w:p>
            <w:r>
              <w:t>2</w:t>
            </w:r>
          </w:p>
        </w:tc>
        <w:tc>
          <w:tcPr>
            <w:tcW w:type="dxa" w:w="3298"/>
          </w:tcPr>
          <w:p>
            <w:r>
              <w:t>&lt;0.1%</w:t>
            </w:r>
          </w:p>
        </w:tc>
      </w:tr>
      <w:tr>
        <w:tc>
          <w:tcPr>
            <w:tcW w:type="dxa" w:w="3298"/>
          </w:tcPr>
          <w:p>
            <w:r>
              <w:t>High inclination</w:t>
            </w:r>
          </w:p>
        </w:tc>
        <w:tc>
          <w:tcPr>
            <w:tcW w:type="dxa" w:w="3298"/>
          </w:tcPr>
          <w:p>
            <w:r>
              <w:t>1</w:t>
            </w:r>
          </w:p>
        </w:tc>
        <w:tc>
          <w:tcPr>
            <w:tcW w:type="dxa" w:w="3298"/>
          </w:tcPr>
          <w:p>
            <w:r>
              <w:t>&lt;0.1%</w:t>
            </w:r>
          </w:p>
        </w:tc>
      </w:tr>
    </w:tbl>
    <w:p>
      <w:pPr>
        <w:spacing w:after="0"/>
      </w:pPr>
    </w:p>
    <w:p>
      <w:r>
        <w:t>Counts overlap; a galaxy can have several review issues. Relaxed recovery, iteration-limited samples and disc-range fallback explicitly identify results obtained using less restrictive conditions. No accepted bar is a limitation on bar geometry, not necessarily on the disc measurement.</w:t>
      </w:r>
    </w:p>
    <w:p>
      <w:pPr>
        <w:pStyle w:val="Heading2"/>
      </w:pPr>
      <w:r>
        <w:t>Nearly face on is informational</w:t>
      </w:r>
    </w:p>
    <w:p>
      <w:r>
        <w:t>59 returned fits have b/a &gt; 0.90 (inclination below about 25.8°). This is recorded in codex_information, not codex_quality_flags. Disc PA instability is not raised for these nearly circular discs, because their orientation is poorly constrained while their deprojection is small. Their bars may still be useful for analysis.</w:t>
      </w:r>
    </w:p>
    <w:p>
      <w:pPr>
        <w:pStyle w:val="Heading2"/>
      </w:pPr>
      <w:r>
        <w:t>Remaining failures</w:t>
      </w:r>
    </w:p>
    <w:p>
      <w:r>
        <w:t>-586374330510251740: ValueError: Only 0 accepted isophotes after recovery; need at least 3</w:t>
      </w:r>
    </w:p>
    <w:p>
      <w:r>
        <w:t>-524824554283124036: Visual review: broader peak search switched to a saturated foreground star with diffraction spikes; no valid target-disc geometry adopted.</w:t>
      </w:r>
    </w:p>
    <w:p>
      <w:r>
        <w:t>2645436353651870062: ValueError: Only 0 accepted isophotes after recovery; need at least 3</w:t>
      </w:r>
    </w:p>
    <w:p>
      <w:r>
        <w:t>2697242050653408730: Visual review: accepted contours cover only the unresolved central region below 0.5 arcsec; no resolved disc geometry adopted.</w:t>
      </w:r>
    </w:p>
    <w:p>
      <w:r>
        <w:br w:type="page"/>
      </w:r>
    </w:p>
    <w:p>
      <w:pPr>
        <w:pStyle w:val="Heading1"/>
      </w:pPr>
      <w:r>
        <w:t>Comparisons and using the results</w:t>
      </w:r>
    </w:p>
    <w:tbl>
      <w:tblPr>
        <w:tblStyle w:val="LightShading-Accent1"/>
        <w:tblW w:type="auto" w:w="0"/>
        <w:tblLook w:firstColumn="1" w:firstRow="1" w:lastColumn="0" w:lastRow="0" w:noHBand="0" w:noVBand="1" w:val="04A0"/>
      </w:tblPr>
      <w:tblGrid>
        <w:gridCol w:w="3298"/>
        <w:gridCol w:w="3298"/>
        <w:gridCol w:w="3298"/>
      </w:tblGrid>
      <w:tr>
        <w:trPr>
          <w:cantSplit/>
        </w:trPr>
        <w:tc>
          <w:tcPr>
            <w:tcW w:type="dxa" w:w="3298"/>
          </w:tcPr>
          <w:p>
            <w:pPr>
              <w:spacing w:after="80"/>
            </w:pPr>
            <w:r>
              <w:rPr>
                <w:sz w:val="18"/>
              </w:rPr>
              <w:t>Comparison with Euclid whole-object shape</w:t>
            </w:r>
          </w:p>
        </w:tc>
        <w:tc>
          <w:tcPr>
            <w:tcW w:type="dxa" w:w="3298"/>
          </w:tcPr>
          <w:p>
            <w:pPr>
              <w:spacing w:after="80"/>
            </w:pPr>
            <w:r>
              <w:rPr>
                <w:sz w:val="18"/>
              </w:rPr>
              <w:t>Median absolute difference</w:t>
            </w:r>
          </w:p>
        </w:tc>
        <w:tc>
          <w:tcPr>
            <w:tcW w:type="dxa" w:w="3298"/>
          </w:tcPr>
          <w:p>
            <w:pPr>
              <w:spacing w:after="80"/>
            </w:pPr>
            <w:r>
              <w:rPr>
                <w:sz w:val="18"/>
              </w:rPr>
              <w:t>Pairs</w:t>
            </w:r>
          </w:p>
        </w:tc>
      </w:tr>
      <w:tr>
        <w:trPr>
          <w:cantSplit/>
        </w:trPr>
        <w:tc>
          <w:tcPr>
            <w:tcW w:type="dxa" w:w="3298"/>
          </w:tcPr>
          <w:p>
            <w:pPr>
              <w:spacing w:after="80"/>
            </w:pPr>
            <w:r>
              <w:rPr>
                <w:sz w:val="18"/>
              </w:rPr>
              <w:t>Adjusted detection PA</w:t>
            </w:r>
          </w:p>
        </w:tc>
        <w:tc>
          <w:tcPr>
            <w:tcW w:type="dxa" w:w="3298"/>
          </w:tcPr>
          <w:p>
            <w:pPr>
              <w:spacing w:after="80"/>
            </w:pPr>
            <w:r>
              <w:rPr>
                <w:sz w:val="18"/>
              </w:rPr>
              <w:t>8.05°</w:t>
            </w:r>
          </w:p>
        </w:tc>
        <w:tc>
          <w:tcPr>
            <w:tcW w:type="dxa" w:w="3298"/>
          </w:tcPr>
          <w:p>
            <w:pPr>
              <w:spacing w:after="80"/>
            </w:pPr>
            <w:r>
              <w:rPr>
                <w:sz w:val="18"/>
              </w:rPr>
              <w:t>2773</w:t>
            </w:r>
          </w:p>
        </w:tc>
      </w:tr>
      <w:tr>
        <w:trPr>
          <w:cantSplit/>
        </w:trPr>
        <w:tc>
          <w:tcPr>
            <w:tcW w:type="dxa" w:w="3298"/>
          </w:tcPr>
          <w:p>
            <w:pPr>
              <w:spacing w:after="80"/>
            </w:pPr>
            <w:r>
              <w:rPr>
                <w:sz w:val="18"/>
              </w:rPr>
              <w:t>Detection inclination proxy</w:t>
            </w:r>
          </w:p>
        </w:tc>
        <w:tc>
          <w:tcPr>
            <w:tcW w:type="dxa" w:w="3298"/>
          </w:tcPr>
          <w:p>
            <w:pPr>
              <w:spacing w:after="80"/>
            </w:pPr>
            <w:r>
              <w:rPr>
                <w:sz w:val="18"/>
              </w:rPr>
              <w:t>6.52°</w:t>
            </w:r>
          </w:p>
        </w:tc>
        <w:tc>
          <w:tcPr>
            <w:tcW w:type="dxa" w:w="3298"/>
          </w:tcPr>
          <w:p>
            <w:pPr>
              <w:spacing w:after="80"/>
            </w:pPr>
            <w:r>
              <w:rPr>
                <w:sz w:val="18"/>
              </w:rPr>
              <w:t>2773</w:t>
            </w:r>
          </w:p>
        </w:tc>
      </w:tr>
      <w:tr>
        <w:trPr>
          <w:cantSplit/>
        </w:trPr>
        <w:tc>
          <w:tcPr>
            <w:tcW w:type="dxa" w:w="3298"/>
          </w:tcPr>
          <w:p>
            <w:pPr>
              <w:spacing w:after="80"/>
            </w:pPr>
            <w:r>
              <w:rPr>
                <w:sz w:val="18"/>
              </w:rPr>
              <w:t>Sérsic inclination proxy</w:t>
            </w:r>
          </w:p>
        </w:tc>
        <w:tc>
          <w:tcPr>
            <w:tcW w:type="dxa" w:w="3298"/>
          </w:tcPr>
          <w:p>
            <w:pPr>
              <w:spacing w:after="80"/>
            </w:pPr>
            <w:r>
              <w:rPr>
                <w:sz w:val="18"/>
              </w:rPr>
              <w:t>5.50°</w:t>
            </w:r>
          </w:p>
        </w:tc>
        <w:tc>
          <w:tcPr>
            <w:tcW w:type="dxa" w:w="3298"/>
          </w:tcPr>
          <w:p>
            <w:pPr>
              <w:spacing w:after="80"/>
            </w:pPr>
            <w:r>
              <w:rPr>
                <w:sz w:val="18"/>
              </w:rPr>
              <w:t>2773</w:t>
            </w:r>
          </w:p>
        </w:tc>
      </w:tr>
    </w:tbl>
    <w:p>
      <w:pPr>
        <w:spacing w:after="0"/>
      </w:pPr>
    </w:p>
    <w:p>
      <w:r>
        <w:t>Euclid detection and single-Sérsic shapes describe whole-object light; they are not independent outer-disc or bar measurements. No independent Euclid bar PA is provided. Inclination proxies retain the q0=0 assumption for like-for-like comparison.</w:t>
      </w:r>
    </w:p>
    <w:p>
      <w:r>
        <w:t>Euclid PA uses the adopted project correction: (WCS-converted catalogue angle +90°) modulo 180°. The WCS step already converts image x to North towards East. The extra +90° is consistent with a y-referenced catalogue angle being interpreted as the documented x-reference, but this explanation remains unconfirmed. The raw catalogue values are preserved.</w:t>
      </w:r>
    </w:p>
    <w:tbl>
      <w:tblPr>
        <w:tblStyle w:val="LightShading-Accent1"/>
        <w:tblW w:type="auto" w:w="0"/>
        <w:tblLook w:firstColumn="1" w:firstRow="1" w:lastColumn="0" w:lastRow="0" w:noHBand="0" w:noVBand="1" w:val="04A0"/>
      </w:tblPr>
      <w:tblGrid>
        <w:gridCol w:w="3298"/>
        <w:gridCol w:w="3298"/>
        <w:gridCol w:w="3298"/>
      </w:tblGrid>
      <w:tr>
        <w:trPr>
          <w:cantSplit/>
        </w:trPr>
        <w:tc>
          <w:tcPr>
            <w:tcW w:type="dxa" w:w="3298"/>
          </w:tcPr>
          <w:p>
            <w:pPr>
              <w:spacing w:after="80"/>
            </w:pPr>
            <w:r>
              <w:rPr>
                <w:sz w:val="18"/>
              </w:rPr>
              <w:t>Comparison with supplied fitted manifest</w:t>
            </w:r>
          </w:p>
        </w:tc>
        <w:tc>
          <w:tcPr>
            <w:tcW w:type="dxa" w:w="3298"/>
          </w:tcPr>
          <w:p>
            <w:pPr>
              <w:spacing w:after="80"/>
            </w:pPr>
            <w:r>
              <w:rPr>
                <w:sz w:val="18"/>
              </w:rPr>
              <w:t>Median absolute difference</w:t>
            </w:r>
          </w:p>
        </w:tc>
        <w:tc>
          <w:tcPr>
            <w:tcW w:type="dxa" w:w="3298"/>
          </w:tcPr>
          <w:p>
            <w:pPr>
              <w:spacing w:after="80"/>
            </w:pPr>
            <w:r>
              <w:rPr>
                <w:sz w:val="18"/>
              </w:rPr>
              <w:t>Pairs</w:t>
            </w:r>
          </w:p>
        </w:tc>
      </w:tr>
      <w:tr>
        <w:trPr>
          <w:cantSplit/>
        </w:trPr>
        <w:tc>
          <w:tcPr>
            <w:tcW w:type="dxa" w:w="3298"/>
          </w:tcPr>
          <w:p>
            <w:pPr>
              <w:spacing w:after="80"/>
            </w:pPr>
            <w:r>
              <w:rPr>
                <w:sz w:val="18"/>
              </w:rPr>
              <w:t>disc</w:t>
            </w:r>
          </w:p>
        </w:tc>
        <w:tc>
          <w:tcPr>
            <w:tcW w:type="dxa" w:w="3298"/>
          </w:tcPr>
          <w:p>
            <w:pPr>
              <w:spacing w:after="80"/>
            </w:pPr>
            <w:r>
              <w:rPr>
                <w:sz w:val="18"/>
              </w:rPr>
              <w:t>2.76°</w:t>
            </w:r>
          </w:p>
        </w:tc>
        <w:tc>
          <w:tcPr>
            <w:tcW w:type="dxa" w:w="3298"/>
          </w:tcPr>
          <w:p>
            <w:pPr>
              <w:spacing w:after="80"/>
            </w:pPr>
            <w:r>
              <w:rPr>
                <w:sz w:val="18"/>
              </w:rPr>
              <w:t>2773</w:t>
            </w:r>
          </w:p>
        </w:tc>
      </w:tr>
      <w:tr>
        <w:trPr>
          <w:cantSplit/>
        </w:trPr>
        <w:tc>
          <w:tcPr>
            <w:tcW w:type="dxa" w:w="3298"/>
          </w:tcPr>
          <w:p>
            <w:pPr>
              <w:spacing w:after="80"/>
            </w:pPr>
            <w:r>
              <w:rPr>
                <w:sz w:val="18"/>
              </w:rPr>
              <w:t>bar</w:t>
            </w:r>
          </w:p>
        </w:tc>
        <w:tc>
          <w:tcPr>
            <w:tcW w:type="dxa" w:w="3298"/>
          </w:tcPr>
          <w:p>
            <w:pPr>
              <w:spacing w:after="80"/>
            </w:pPr>
            <w:r>
              <w:rPr>
                <w:sz w:val="18"/>
              </w:rPr>
              <w:t>0.45°</w:t>
            </w:r>
          </w:p>
        </w:tc>
        <w:tc>
          <w:tcPr>
            <w:tcW w:type="dxa" w:w="3298"/>
          </w:tcPr>
          <w:p>
            <w:pPr>
              <w:spacing w:after="80"/>
            </w:pPr>
            <w:r>
              <w:rPr>
                <w:sz w:val="18"/>
              </w:rPr>
              <w:t>2292</w:t>
            </w:r>
          </w:p>
        </w:tc>
      </w:tr>
      <w:tr>
        <w:trPr>
          <w:cantSplit/>
        </w:trPr>
        <w:tc>
          <w:tcPr>
            <w:tcW w:type="dxa" w:w="3298"/>
          </w:tcPr>
          <w:p>
            <w:pPr>
              <w:spacing w:after="80"/>
            </w:pPr>
            <w:r>
              <w:rPr>
                <w:sz w:val="18"/>
              </w:rPr>
              <w:t>inclination</w:t>
            </w:r>
          </w:p>
        </w:tc>
        <w:tc>
          <w:tcPr>
            <w:tcW w:type="dxa" w:w="3298"/>
          </w:tcPr>
          <w:p>
            <w:pPr>
              <w:spacing w:after="80"/>
            </w:pPr>
            <w:r>
              <w:rPr>
                <w:sz w:val="18"/>
              </w:rPr>
              <w:t>2.37°</w:t>
            </w:r>
          </w:p>
        </w:tc>
        <w:tc>
          <w:tcPr>
            <w:tcW w:type="dxa" w:w="3298"/>
          </w:tcPr>
          <w:p>
            <w:pPr>
              <w:spacing w:after="80"/>
            </w:pPr>
            <w:r>
              <w:rPr>
                <w:sz w:val="18"/>
              </w:rPr>
              <w:t>2773</w:t>
            </w:r>
          </w:p>
        </w:tc>
      </w:tr>
    </w:tbl>
    <w:p>
      <w:pPr>
        <w:spacing w:after="0"/>
      </w:pPr>
    </w:p>
    <w:p>
      <w:r>
        <w:t>The supplied manifest uses q0=0.2 and different interval/acceptance choices. Our q0 remains zero. These differences therefore include methodological effects and are not formal independent accuracy tests.</w:t>
      </w:r>
    </w:p>
    <w:p>
      <w:pPr>
        <w:pStyle w:val="Heading2"/>
      </w:pPr>
      <w:r>
        <w:t>Where to find the current outputs</w:t>
      </w:r>
    </w:p>
    <w:p>
      <w:r>
        <w:t>Geometry: Euclid_MER_VIS_geometry/MER_VIS_local_geometry_manifest.csv in the research data folder. Individual reports: MER_VIS_galaxy_reports/all_2777/png_QI and png_NoQI. PDF reports: pdf_QI and pdf_NoQI. MER_VIS_report_review_index.csv gives the PNG, PDF, page and position for each galaxy.</w:t>
      </w:r>
    </w:p>
    <w:p>
      <w:r>
        <w:t>The raw cutout FITS files are unchanged. These reports do not create final deprojected images. Inspect flagged quantities, centres and selected radial ranges before adopting geometry.</w:t>
      </w:r>
    </w:p>
    <w:p>
      <w:r>
        <w:t>Sources: current MER_VIS_local_geometry_manifest.csv, MER_VIS_v2_summary.json, MER_VIS_report_verification.json and pipeline version MER_VIS_adaptive_v2_2026-10-20. Code: Euclid/adaptive_MER_VIS. The supplied methodology and fitted manifest are retained as comparison references.</w:t>
      </w:r>
    </w:p>
    <w:p>
      <w:r>
        <w:br w:type="page"/>
      </w:r>
    </w:p>
    <w:p>
      <w:pPr>
        <w:pStyle w:val="Heading1"/>
      </w:pPr>
      <w:r>
        <w:t>Understanding the bar signature classes</w:t>
      </w:r>
    </w:p>
    <w:p>
      <w:pPr>
        <w:pStyle w:val="Heading2"/>
      </w:pPr>
      <w:r>
        <w:t>What class A and class B mean</w:t>
      </w:r>
    </w:p>
    <w:p>
      <w:r>
        <w:t>These are operational categories defined by our ellipse-fitting code. They describe how clearly the radial ellipse profiles resemble a bar. They are not Galaxy Zoo or Zoobot classes, probabilities of a bar, or measurements of physical bar strength.</w:t>
      </w:r>
    </w:p>
    <w:p>
      <w:pPr>
        <w:pStyle w:val="Heading2"/>
      </w:pPr>
      <w:r>
        <w:t>The common acceptance test</w:t>
      </w:r>
    </w:p>
    <w:p>
      <w:r>
        <w:t>A candidate must have a smoothed ellipticity peak of at least 0.20 and a plateau of at least three accepted ellipses. The plateau sky PA scatter must be no more than 10°. Beyond the peak, ellipticity must drop by at least 0.08; alternatively, a drop of at least 0.04 is accepted if the outer PA twist or difference from the preliminary outer-disc PA is at least 10°.</w:t>
      </w:r>
    </w:p>
    <w:p>
      <w:pPr>
        <w:pStyle w:val="Heading2"/>
      </w:pPr>
      <w:r>
        <w:t>Class A means a clearer ellipse signature</w:t>
      </w:r>
    </w:p>
    <w:p>
      <w:r>
        <w:t>An accepted candidate is class A only if all three stronger conditions hold: ellipticity drops by at least 0.10 beyond the peak; plateau PA scatter is no more than 5°; and peak ellipticity is at least 0.30. Ellipticity is 1 − b/a, so 0.30 corresponds to an ellipse axis ratio b/a of 0.70.</w:t>
      </w:r>
    </w:p>
    <w:p>
      <w:pPr>
        <w:pStyle w:val="Heading2"/>
      </w:pPr>
      <w:r>
        <w:t>Class B means accepted with weaker evidence</w:t>
      </w:r>
    </w:p>
    <w:p>
      <w:r>
        <w:t>A candidate is class B if it passes the common acceptance test but misses at least one class A threshold. For example, peak ellipticity 0.35, drop 0.08 and PA scatter 4° passes the common test but is B because the drop is below 0.10. Peak ellipticity 0.40, drop 0.15 and scatter 7° is also B because scatter exceeds 5°.</w:t>
      </w:r>
    </w:p>
    <w:p>
      <w:pPr>
        <w:pStyle w:val="Heading2"/>
      </w:pPr>
      <w:r>
        <w:t>How to interpret the quality flag</w:t>
      </w:r>
    </w:p>
    <w:p>
      <w:r>
        <w:t>The flag weak_ellipse_bar_signature marks every accepted class B candidate for review. Class B does not mean that the galaxy definitely has a physically weak bar. A bulge, ring or spiral arm can mimic a bar profile, including a class A profile. Inspect the image and selected ellipses before adopting the bar PA. If no candidate passes the common test, no bar PA is adopted; the disc measurement may still be retained.</w:t>
      </w:r>
    </w:p>
    <w:p>
      <w:r>
        <w:br w:type="page"/>
      </w:r>
    </w:p>
    <w:p>
      <w:pPr>
        <w:pStyle w:val="Heading1"/>
      </w:pPr>
      <w:r>
        <w:t>Reading the profiles and assessing disc sampling</w:t>
      </w:r>
    </w:p>
    <w:p>
      <w:pPr>
        <w:pStyle w:val="Heading2"/>
      </w:pPr>
      <w:r>
        <w:t>Accepted and rejected points</w:t>
      </w:r>
    </w:p>
    <w:p>
      <w:r>
        <w:t>Blue points are accepted ellipse measurements. Grey points fail one or more acceptance checks and are excluded from the adopted disc PA and its scatter. Green shading identifies the selected radial interval; it does not mean that all points inside it are accepted. Lines connect accepted points only and now break across rejected samples. They are visual guides, not fitted curves.</w:t>
      </w:r>
    </w:p>
    <w:p>
      <w:pPr>
        <w:pStyle w:val="Heading2"/>
      </w:pPr>
      <w:r>
        <w:t>Sparse sampling is distinct from PA variation</w:t>
      </w:r>
    </w:p>
    <w:p>
      <w:r>
        <w:t>For non-face-on discs, the PA variation screen requires at least six selected accepted ellipses and no radial gap greater than half the selected span. Otherwise sparse disc sampling is flagged, while numerical PA and scatter remain in the manifest. With adequate sampling, scatter above 10° raises the radial PA variation flag. Nearly-face-on discs are exempt from both PA flags. These operational thresholds require validation; neighbouring ellipses are correlated and the count is not a number of independent observations.</w:t>
      </w:r>
    </w:p>
    <w:p>
      <w:pPr>
        <w:pStyle w:val="Heading2"/>
      </w:pPr>
      <w:r>
        <w:t>Examples discussed during review</w:t>
      </w:r>
    </w:p>
    <w:p>
      <w:r>
        <w:t>Galaxy -518633776290631360 has three selected accepted disc ellipses in the stored interval and a largest gap of about 78% of its span. A point beside the green boundary can appear to be a fourth; selection uses the stored radii. Its label is now sparse disc sampling. Galaxy -601121275504424227 has seven selected accepted disc ellipses and a largest gap of about 22%; its sustained PA change is retained as radial PA variation.</w:t>
      </w:r>
    </w:p>
    <w:p>
      <w:pPr>
        <w:pStyle w:val="Heading2"/>
      </w:pPr>
      <w:r>
        <w:t>Bar candidates and failed fit displays</w:t>
      </w:r>
    </w:p>
    <w:p>
      <w:r>
        <w:t>Galaxy Zoo and Zoobot identify bar candidates. A small selected bar interval can be a real unresolved bar or a different feature. Class A/B describes the ellipse-profile evidence, not physical bar strength or confirmation. Failed fits have no adopted centre, PA or inclination. Their report images now omit fallback centre markers and rejected ellipse overlays, which previously looked misleadingly like adopted geometry. Raw FITS pixels are unchanged.</w:t>
      </w:r>
    </w:p>
    <w:p>
      <w:pPr>
        <w:pStyle w:val="Heading2"/>
      </w:pPr>
      <w:r>
        <w:t>Established catalogue identifiers</w:t>
      </w:r>
    </w:p>
    <w:p>
      <w:r>
        <w:t>A coordinate cross-match against SIMBAD and VizieR HyperLEDA VII/237 found 227 secure positional identifications: 224 through SIMBAD and three additional VizieR matches. These have one galaxy identity within 5 arcsec and an adopted separation no greater than 2 arcsec from the Euclid catalogue coordinates. Their identifiers and match separations appear on the PNGs. No Messier, NGC or IC identifier was returned among the accepted matches. One ambiguous case and 13 candidates outside the secure radius remain unassigned. A non-match means no secure identity in these searches, not absence from all catalogues. The manifest records source, separation, link and query date; the full candidate results are retained.</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Euclid MER VIS adaptive fitting v2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Euclid MER VIS galaxy geometry outcomes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