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color w:val="0B2545"/>
          <w:sz w:val="46"/>
        </w:rPr>
        <w:t>DECISION MEMO</w:t>
      </w:r>
    </w:p>
    <w:p>
      <w:pPr>
        <w:spacing w:after="280"/>
      </w:pPr>
      <w:r>
        <w:rPr>
          <w:rFonts w:ascii="Arial" w:hAnsi="Arial"/>
          <w:color w:val="5A626C"/>
          <w:sz w:val="28"/>
        </w:rPr>
        <w:t>SEP and MTObjects Toy-Object Masking: Results, Risks and Recommended Production Strategy</w:t>
      </w:r>
    </w:p>
    <w:p>
      <w:pPr>
        <w:spacing w:after="40"/>
      </w:pPr>
      <w:r>
        <w:rPr>
          <w:b/>
        </w:rPr>
        <w:t xml:space="preserve">Date: </w:t>
      </w:r>
      <w:r>
        <w:t>16 August 2026</w:t>
      </w:r>
    </w:p>
    <w:p>
      <w:pPr>
        <w:spacing w:after="40"/>
      </w:pPr>
      <w:r>
        <w:rPr>
          <w:b/>
        </w:rPr>
        <w:t xml:space="preserve">Scope: </w:t>
      </w:r>
      <w:r>
        <w:t>Four-fold optimisation on 40 calibration galaxies and aligned eight-panel application to 182 galaxies</w:t>
      </w:r>
    </w:p>
    <w:p>
      <w:pPr>
        <w:spacing w:after="40"/>
      </w:pPr>
      <w:r>
        <w:rPr>
          <w:b/>
        </w:rPr>
        <w:t xml:space="preserve">Decision: </w:t>
      </w:r>
      <w:r>
        <w:t>Select a masking strategy that balances contaminant recovery against damage to galaxy structure and bar profiles</w:t>
      </w:r>
    </w:p>
    <w:p>
      <w:pPr>
        <w:spacing w:after="40"/>
      </w:pPr>
      <w:r>
        <w:rPr>
          <w:b/>
        </w:rPr>
        <w:t xml:space="preserve">Status: </w:t>
      </w:r>
      <w:r>
        <w:t>Both algorithms completed; 182/182 PNG reports available for each method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AF4EA"/>
          </w:tcPr>
          <w:p>
            <w:pPr>
              <w:spacing w:after="60"/>
            </w:pPr>
            <w:r>
              <w:rPr>
                <w:b/>
                <w:color w:val="0B2545"/>
              </w:rPr>
              <w:t xml:space="preserve">Recommendation. </w:t>
            </w:r>
            <w:r>
              <w:t>Use a gated two-algorithm workflow. Use SEP as the higher-recovery candidate generator, but do not accept its mask unconditionally. Automatically accept agreement between SEP and MTObjects, review or constrain SEP-only components, and fall back to MTObjects or an adaptive SEP rerun when total masked area exceeds 15% or bar-profile damage is detected. If only one unattended algorithm can be used, MTObjects is the safer scientific default; if manual review is available and recovery is the priority, use SEP with the gates below.</w:t>
            </w:r>
          </w:p>
        </w:tc>
      </w:tr>
    </w:tbl>
    <w:p>
      <w:pPr>
        <w:spacing w:after="0"/>
      </w:pPr>
    </w:p>
    <w:p>
      <w:pPr>
        <w:pStyle w:val="Heading1"/>
        <w:keepNext/>
      </w:pPr>
      <w:r>
        <w:t>1. What was completed</w:t>
      </w:r>
    </w:p>
    <w:p>
      <w:r>
        <w:t>Both methods used the same 40-galaxy fold membership: four rotations of 30 training galaxies and 10 held-out galaxies, with 40 Optuna trials per fold. Each candidate was compared on a common 40-galaxy injected evaluation set within its own run. Both selected models were then applied to all 182 galaxies to create aligned eight-panel PNG reports.</w:t>
      </w:r>
    </w:p>
    <w:p>
      <w:r>
        <w:t>The SEP run completed on 16 August 2026 with fold 4 selected and 182/182 successful PNGs. The MTObjects recovery follow-up selected fold 3 and, after correcting the NGC3185 manifest centre, also completed 182/182 PNGs. Neither final batch contains a failed row.</w:t>
      </w:r>
    </w:p>
    <w:p>
      <w:r>
        <w:t>Important comparability caveat: the two cross-validation runs used the same fold membership but different random injection seeds and different objective formulas. Therefore their scalar objective scores must not be compared directly. The decision below uses shared metrics (toy recall, toy detection rate and masked fraction), plus the same-size production batches.</w:t>
      </w:r>
    </w:p>
    <w:p>
      <w:pPr>
        <w:pStyle w:val="Heading1"/>
        <w:keepNext/>
      </w:pPr>
      <w:r>
        <w:t>2. Selected models</w:t>
      </w:r>
    </w:p>
    <w:tbl>
      <w:tblPr>
        <w:tblStyle w:val="TableGrid"/>
        <w:tblW w:type="dxa" w:w="9360"/>
        <w:jc w:val="left"/>
        <w:tblLayout w:type="fixed"/>
        <w:tblLook w:firstColumn="1" w:firstRow="1" w:lastColumn="0" w:lastRow="0" w:noHBand="0" w:noVBand="1" w:val="04A0"/>
        <w:tblInd w:w="120" w:type="dxa"/>
      </w:tblPr>
      <w:tblGrid>
        <w:gridCol w:w="2500"/>
        <w:gridCol w:w="3430"/>
        <w:gridCol w:w="3430"/>
      </w:tblGrid>
      <w:tr>
        <w:trPr>
          <w:tblHeader w:val="true"/>
        </w:trPr>
        <w:tc>
          <w:tcPr>
            <w:tcW w:type="dxa" w:w="2500"/>
            <w:tcMar>
              <w:top w:w="80" w:type="dxa"/>
              <w:start w:w="120" w:type="dxa"/>
              <w:bottom w:w="80" w:type="dxa"/>
              <w:end w:w="120" w:type="dxa"/>
            </w:tcMar>
            <w:vAlign w:val="center"/>
            <w:shd w:fill="E8EEF5"/>
          </w:tcPr>
          <w:p>
            <w:r>
              <w:rPr>
                <w:rFonts w:ascii="Arial" w:hAnsi="Arial"/>
                <w:b/>
                <w:sz w:val="18"/>
              </w:rPr>
              <w:t>Item</w:t>
            </w:r>
          </w:p>
        </w:tc>
        <w:tc>
          <w:tcPr>
            <w:tcW w:type="dxa" w:w="3430"/>
            <w:tcMar>
              <w:top w:w="80" w:type="dxa"/>
              <w:start w:w="120" w:type="dxa"/>
              <w:bottom w:w="80" w:type="dxa"/>
              <w:end w:w="120" w:type="dxa"/>
            </w:tcMar>
            <w:vAlign w:val="center"/>
            <w:shd w:fill="E8EEF5"/>
          </w:tcPr>
          <w:p>
            <w:r>
              <w:rPr>
                <w:rFonts w:ascii="Arial" w:hAnsi="Arial"/>
                <w:b/>
                <w:sz w:val="18"/>
              </w:rPr>
              <w:t>SEP</w:t>
            </w:r>
          </w:p>
        </w:tc>
        <w:tc>
          <w:tcPr>
            <w:tcW w:type="dxa" w:w="3430"/>
            <w:tcMar>
              <w:top w:w="80" w:type="dxa"/>
              <w:start w:w="120" w:type="dxa"/>
              <w:bottom w:w="80" w:type="dxa"/>
              <w:end w:w="120" w:type="dxa"/>
            </w:tcMar>
            <w:vAlign w:val="center"/>
            <w:shd w:fill="E8EEF5"/>
          </w:tcPr>
          <w:p>
            <w:r>
              <w:rPr>
                <w:rFonts w:ascii="Arial" w:hAnsi="Arial"/>
                <w:b/>
                <w:sz w:val="18"/>
              </w:rPr>
              <w:t>MTObjects</w:t>
            </w:r>
          </w:p>
        </w:tc>
      </w:tr>
      <w:tr>
        <w:tc>
          <w:tcPr>
            <w:tcW w:type="dxa" w:w="2500"/>
            <w:tcMar>
              <w:top w:w="80" w:type="dxa"/>
              <w:start w:w="120" w:type="dxa"/>
              <w:bottom w:w="80" w:type="dxa"/>
              <w:end w:w="120" w:type="dxa"/>
            </w:tcMar>
            <w:vAlign w:val="center"/>
          </w:tcPr>
          <w:p>
            <w:pPr>
              <w:spacing w:after="0"/>
            </w:pPr>
            <w:r>
              <w:rPr>
                <w:rFonts w:ascii="Arial" w:hAnsi="Arial"/>
                <w:sz w:val="18"/>
              </w:rPr>
              <w:t>Winning fold</w:t>
            </w:r>
          </w:p>
        </w:tc>
        <w:tc>
          <w:tcPr>
            <w:tcW w:type="dxa" w:w="3430"/>
            <w:tcMar>
              <w:top w:w="80" w:type="dxa"/>
              <w:start w:w="120" w:type="dxa"/>
              <w:bottom w:w="80" w:type="dxa"/>
              <w:end w:w="120" w:type="dxa"/>
            </w:tcMar>
            <w:vAlign w:val="center"/>
          </w:tcPr>
          <w:p>
            <w:pPr>
              <w:spacing w:after="0"/>
            </w:pPr>
            <w:r>
              <w:rPr>
                <w:rFonts w:ascii="Arial" w:hAnsi="Arial"/>
                <w:sz w:val="18"/>
              </w:rPr>
              <w:t>4</w:t>
            </w:r>
          </w:p>
        </w:tc>
        <w:tc>
          <w:tcPr>
            <w:tcW w:type="dxa" w:w="3430"/>
            <w:tcMar>
              <w:top w:w="80" w:type="dxa"/>
              <w:start w:w="120" w:type="dxa"/>
              <w:bottom w:w="80" w:type="dxa"/>
              <w:end w:w="120" w:type="dxa"/>
            </w:tcMar>
            <w:vAlign w:val="center"/>
          </w:tcPr>
          <w:p>
            <w:pPr>
              <w:spacing w:after="0"/>
            </w:pPr>
            <w:r>
              <w:rPr>
                <w:rFonts w:ascii="Arial" w:hAnsi="Arial"/>
                <w:sz w:val="18"/>
              </w:rPr>
              <w:t>3</w:t>
            </w:r>
          </w:p>
        </w:tc>
      </w:tr>
      <w:tr>
        <w:tc>
          <w:tcPr>
            <w:tcW w:type="dxa" w:w="2500"/>
            <w:tcMar>
              <w:top w:w="80" w:type="dxa"/>
              <w:start w:w="120" w:type="dxa"/>
              <w:bottom w:w="80" w:type="dxa"/>
              <w:end w:w="120" w:type="dxa"/>
            </w:tcMar>
            <w:vAlign w:val="center"/>
          </w:tcPr>
          <w:p>
            <w:pPr>
              <w:spacing w:after="0"/>
            </w:pPr>
            <w:r>
              <w:rPr>
                <w:rFonts w:ascii="Arial" w:hAnsi="Arial"/>
                <w:sz w:val="18"/>
              </w:rPr>
              <w:t>Detection image</w:t>
            </w:r>
          </w:p>
        </w:tc>
        <w:tc>
          <w:tcPr>
            <w:tcW w:type="dxa" w:w="3430"/>
            <w:tcMar>
              <w:top w:w="80" w:type="dxa"/>
              <w:start w:w="120" w:type="dxa"/>
              <w:bottom w:w="80" w:type="dxa"/>
              <w:end w:w="120" w:type="dxa"/>
            </w:tcMar>
            <w:vAlign w:val="center"/>
          </w:tcPr>
          <w:p>
            <w:pPr>
              <w:spacing w:after="0"/>
            </w:pPr>
            <w:r>
              <w:rPr>
                <w:rFonts w:ascii="Arial" w:hAnsi="Arial"/>
                <w:sz w:val="18"/>
              </w:rPr>
              <w:t>Residual</w:t>
            </w:r>
          </w:p>
        </w:tc>
        <w:tc>
          <w:tcPr>
            <w:tcW w:type="dxa" w:w="3430"/>
            <w:tcMar>
              <w:top w:w="80" w:type="dxa"/>
              <w:start w:w="120" w:type="dxa"/>
              <w:bottom w:w="80" w:type="dxa"/>
              <w:end w:w="120" w:type="dxa"/>
            </w:tcMar>
            <w:vAlign w:val="center"/>
          </w:tcPr>
          <w:p>
            <w:pPr>
              <w:spacing w:after="0"/>
            </w:pPr>
            <w:r>
              <w:rPr>
                <w:rFonts w:ascii="Arial" w:hAnsi="Arial"/>
                <w:sz w:val="18"/>
              </w:rPr>
              <w:t>Original</w:t>
            </w:r>
          </w:p>
        </w:tc>
      </w:tr>
      <w:tr>
        <w:tc>
          <w:tcPr>
            <w:tcW w:type="dxa" w:w="2500"/>
            <w:tcMar>
              <w:top w:w="80" w:type="dxa"/>
              <w:start w:w="120" w:type="dxa"/>
              <w:bottom w:w="80" w:type="dxa"/>
              <w:end w:w="120" w:type="dxa"/>
            </w:tcMar>
            <w:vAlign w:val="center"/>
          </w:tcPr>
          <w:p>
            <w:pPr>
              <w:spacing w:after="0"/>
            </w:pPr>
            <w:r>
              <w:rPr>
                <w:rFonts w:ascii="Arial" w:hAnsi="Arial"/>
                <w:sz w:val="18"/>
              </w:rPr>
              <w:t>Detection threshold / move factor</w:t>
            </w:r>
          </w:p>
        </w:tc>
        <w:tc>
          <w:tcPr>
            <w:tcW w:type="dxa" w:w="3430"/>
            <w:tcMar>
              <w:top w:w="80" w:type="dxa"/>
              <w:start w:w="120" w:type="dxa"/>
              <w:bottom w:w="80" w:type="dxa"/>
              <w:end w:w="120" w:type="dxa"/>
            </w:tcMar>
            <w:vAlign w:val="center"/>
          </w:tcPr>
          <w:p>
            <w:pPr>
              <w:spacing w:after="0"/>
            </w:pPr>
            <w:r>
              <w:rPr>
                <w:rFonts w:ascii="Arial" w:hAnsi="Arial"/>
                <w:sz w:val="18"/>
              </w:rPr>
              <w:t>Threshold 1.859 RMS</w:t>
            </w:r>
          </w:p>
        </w:tc>
        <w:tc>
          <w:tcPr>
            <w:tcW w:type="dxa" w:w="3430"/>
            <w:tcMar>
              <w:top w:w="80" w:type="dxa"/>
              <w:start w:w="120" w:type="dxa"/>
              <w:bottom w:w="80" w:type="dxa"/>
              <w:end w:w="120" w:type="dxa"/>
            </w:tcMar>
            <w:vAlign w:val="center"/>
          </w:tcPr>
          <w:p>
            <w:pPr>
              <w:spacing w:after="0"/>
            </w:pPr>
            <w:r>
              <w:rPr>
                <w:rFonts w:ascii="Arial" w:hAnsi="Arial"/>
                <w:sz w:val="18"/>
              </w:rPr>
              <w:t>Move factor 0.805</w:t>
            </w:r>
          </w:p>
        </w:tc>
      </w:tr>
      <w:tr>
        <w:tc>
          <w:tcPr>
            <w:tcW w:type="dxa" w:w="2500"/>
            <w:tcMar>
              <w:top w:w="80" w:type="dxa"/>
              <w:start w:w="120" w:type="dxa"/>
              <w:bottom w:w="80" w:type="dxa"/>
              <w:end w:w="120" w:type="dxa"/>
            </w:tcMar>
            <w:vAlign w:val="center"/>
          </w:tcPr>
          <w:p>
            <w:pPr>
              <w:spacing w:after="0"/>
            </w:pPr>
            <w:r>
              <w:rPr>
                <w:rFonts w:ascii="Arial" w:hAnsi="Arial"/>
                <w:sz w:val="18"/>
              </w:rPr>
              <w:t>Minimum area</w:t>
            </w:r>
          </w:p>
        </w:tc>
        <w:tc>
          <w:tcPr>
            <w:tcW w:type="dxa" w:w="3430"/>
            <w:tcMar>
              <w:top w:w="80" w:type="dxa"/>
              <w:start w:w="120" w:type="dxa"/>
              <w:bottom w:w="80" w:type="dxa"/>
              <w:end w:w="120" w:type="dxa"/>
            </w:tcMar>
            <w:vAlign w:val="center"/>
          </w:tcPr>
          <w:p>
            <w:pPr>
              <w:spacing w:after="0"/>
            </w:pPr>
            <w:r>
              <w:rPr>
                <w:rFonts w:ascii="Arial" w:hAnsi="Arial"/>
                <w:sz w:val="18"/>
              </w:rPr>
              <w:t>14</w:t>
            </w:r>
          </w:p>
        </w:tc>
        <w:tc>
          <w:tcPr>
            <w:tcW w:type="dxa" w:w="3430"/>
            <w:tcMar>
              <w:top w:w="80" w:type="dxa"/>
              <w:start w:w="120" w:type="dxa"/>
              <w:bottom w:w="80" w:type="dxa"/>
              <w:end w:w="120" w:type="dxa"/>
            </w:tcMar>
            <w:vAlign w:val="center"/>
          </w:tcPr>
          <w:p>
            <w:pPr>
              <w:spacing w:after="0"/>
            </w:pPr>
            <w:r>
              <w:rPr>
                <w:rFonts w:ascii="Arial" w:hAnsi="Arial"/>
                <w:sz w:val="18"/>
              </w:rPr>
              <w:t>5</w:t>
            </w:r>
          </w:p>
        </w:tc>
      </w:tr>
      <w:tr>
        <w:tc>
          <w:tcPr>
            <w:tcW w:type="dxa" w:w="2500"/>
            <w:tcMar>
              <w:top w:w="80" w:type="dxa"/>
              <w:start w:w="120" w:type="dxa"/>
              <w:bottom w:w="80" w:type="dxa"/>
              <w:end w:w="120" w:type="dxa"/>
            </w:tcMar>
            <w:vAlign w:val="center"/>
          </w:tcPr>
          <w:p>
            <w:pPr>
              <w:spacing w:after="0"/>
            </w:pPr>
            <w:r>
              <w:rPr>
                <w:rFonts w:ascii="Arial" w:hAnsi="Arial"/>
                <w:sz w:val="18"/>
              </w:rPr>
              <w:t>Deblending</w:t>
            </w:r>
          </w:p>
        </w:tc>
        <w:tc>
          <w:tcPr>
            <w:tcW w:type="dxa" w:w="3430"/>
            <w:tcMar>
              <w:top w:w="80" w:type="dxa"/>
              <w:start w:w="120" w:type="dxa"/>
              <w:bottom w:w="80" w:type="dxa"/>
              <w:end w:w="120" w:type="dxa"/>
            </w:tcMar>
            <w:vAlign w:val="center"/>
          </w:tcPr>
          <w:p>
            <w:pPr>
              <w:spacing w:after="0"/>
            </w:pPr>
            <w:r>
              <w:rPr>
                <w:rFonts w:ascii="Arial" w:hAnsi="Arial"/>
                <w:sz w:val="18"/>
              </w:rPr>
              <w:t>64 levels; contrast 0.0030</w:t>
            </w:r>
          </w:p>
        </w:tc>
        <w:tc>
          <w:tcPr>
            <w:tcW w:type="dxa" w:w="3430"/>
            <w:tcMar>
              <w:top w:w="80" w:type="dxa"/>
              <w:start w:w="120" w:type="dxa"/>
              <w:bottom w:w="80" w:type="dxa"/>
              <w:end w:w="120" w:type="dxa"/>
            </w:tcMar>
            <w:vAlign w:val="center"/>
          </w:tcPr>
          <w:p>
            <w:pPr>
              <w:spacing w:after="0"/>
            </w:pPr>
            <w:r>
              <w:rPr>
                <w:rFonts w:ascii="Arial" w:hAnsi="Arial"/>
                <w:sz w:val="18"/>
              </w:rPr>
              <w:t>MTObjects tree segmentation</w:t>
            </w:r>
          </w:p>
        </w:tc>
      </w:tr>
      <w:tr>
        <w:tc>
          <w:tcPr>
            <w:tcW w:type="dxa" w:w="2500"/>
            <w:tcMar>
              <w:top w:w="80" w:type="dxa"/>
              <w:start w:w="120" w:type="dxa"/>
              <w:bottom w:w="80" w:type="dxa"/>
              <w:end w:w="120" w:type="dxa"/>
            </w:tcMar>
            <w:vAlign w:val="center"/>
          </w:tcPr>
          <w:p>
            <w:pPr>
              <w:spacing w:after="0"/>
            </w:pPr>
            <w:r>
              <w:rPr>
                <w:rFonts w:ascii="Arial" w:hAnsi="Arial"/>
                <w:sz w:val="18"/>
              </w:rPr>
              <w:t>Background</w:t>
            </w:r>
          </w:p>
        </w:tc>
        <w:tc>
          <w:tcPr>
            <w:tcW w:type="dxa" w:w="3430"/>
            <w:tcMar>
              <w:top w:w="80" w:type="dxa"/>
              <w:start w:w="120" w:type="dxa"/>
              <w:bottom w:w="80" w:type="dxa"/>
              <w:end w:w="120" w:type="dxa"/>
            </w:tcMar>
            <w:vAlign w:val="center"/>
          </w:tcPr>
          <w:p>
            <w:pPr>
              <w:spacing w:after="0"/>
            </w:pPr>
            <w:r>
              <w:rPr>
                <w:rFonts w:ascii="Arial" w:hAnsi="Arial"/>
                <w:sz w:val="18"/>
              </w:rPr>
              <w:t>Mesh 32; filter 1</w:t>
            </w:r>
          </w:p>
        </w:tc>
        <w:tc>
          <w:tcPr>
            <w:tcW w:type="dxa" w:w="3430"/>
            <w:tcMar>
              <w:top w:w="80" w:type="dxa"/>
              <w:start w:w="120" w:type="dxa"/>
              <w:bottom w:w="80" w:type="dxa"/>
              <w:end w:w="120" w:type="dxa"/>
            </w:tcMar>
            <w:vAlign w:val="center"/>
          </w:tcPr>
          <w:p>
            <w:pPr>
              <w:spacing w:after="0"/>
            </w:pPr>
            <w:r>
              <w:rPr>
                <w:rFonts w:ascii="Arial" w:hAnsi="Arial"/>
                <w:sz w:val="18"/>
              </w:rPr>
              <w:t>Variance 0.000821</w:t>
            </w:r>
          </w:p>
        </w:tc>
      </w:tr>
      <w:tr>
        <w:tc>
          <w:tcPr>
            <w:tcW w:type="dxa" w:w="2500"/>
            <w:tcMar>
              <w:top w:w="80" w:type="dxa"/>
              <w:start w:w="120" w:type="dxa"/>
              <w:bottom w:w="80" w:type="dxa"/>
              <w:end w:w="120" w:type="dxa"/>
            </w:tcMar>
            <w:vAlign w:val="center"/>
          </w:tcPr>
          <w:p>
            <w:pPr>
              <w:spacing w:after="0"/>
            </w:pPr>
            <w:r>
              <w:rPr>
                <w:rFonts w:ascii="Arial" w:hAnsi="Arial"/>
                <w:sz w:val="18"/>
              </w:rPr>
              <w:t>Dilation radius</w:t>
            </w:r>
          </w:p>
        </w:tc>
        <w:tc>
          <w:tcPr>
            <w:tcW w:type="dxa" w:w="3430"/>
            <w:tcMar>
              <w:top w:w="80" w:type="dxa"/>
              <w:start w:w="120" w:type="dxa"/>
              <w:bottom w:w="80" w:type="dxa"/>
              <w:end w:w="120" w:type="dxa"/>
            </w:tcMar>
            <w:vAlign w:val="center"/>
          </w:tcPr>
          <w:p>
            <w:pPr>
              <w:spacing w:after="0"/>
            </w:pPr>
            <w:r>
              <w:rPr>
                <w:rFonts w:ascii="Arial" w:hAnsi="Arial"/>
                <w:sz w:val="18"/>
              </w:rPr>
              <w:t>6</w:t>
            </w:r>
          </w:p>
        </w:tc>
        <w:tc>
          <w:tcPr>
            <w:tcW w:type="dxa" w:w="3430"/>
            <w:tcMar>
              <w:top w:w="80" w:type="dxa"/>
              <w:start w:w="120" w:type="dxa"/>
              <w:bottom w:w="80" w:type="dxa"/>
              <w:end w:w="120" w:type="dxa"/>
            </w:tcMar>
            <w:vAlign w:val="center"/>
          </w:tcPr>
          <w:p>
            <w:pPr>
              <w:spacing w:after="0"/>
            </w:pPr>
            <w:r>
              <w:rPr>
                <w:rFonts w:ascii="Arial" w:hAnsi="Arial"/>
                <w:sz w:val="18"/>
              </w:rPr>
              <w:t>3</w:t>
            </w:r>
          </w:p>
        </w:tc>
      </w:tr>
      <w:tr>
        <w:tc>
          <w:tcPr>
            <w:tcW w:type="dxa" w:w="2500"/>
            <w:tcMar>
              <w:top w:w="80" w:type="dxa"/>
              <w:start w:w="120" w:type="dxa"/>
              <w:bottom w:w="80" w:type="dxa"/>
              <w:end w:w="120" w:type="dxa"/>
            </w:tcMar>
            <w:vAlign w:val="center"/>
          </w:tcPr>
          <w:p>
            <w:pPr>
              <w:spacing w:after="0"/>
            </w:pPr>
            <w:r>
              <w:rPr>
                <w:rFonts w:ascii="Arial" w:hAnsi="Arial"/>
                <w:sz w:val="18"/>
              </w:rPr>
              <w:t>Maximum area</w:t>
            </w:r>
          </w:p>
        </w:tc>
        <w:tc>
          <w:tcPr>
            <w:tcW w:type="dxa" w:w="3430"/>
            <w:tcMar>
              <w:top w:w="80" w:type="dxa"/>
              <w:start w:w="120" w:type="dxa"/>
              <w:bottom w:w="80" w:type="dxa"/>
              <w:end w:w="120" w:type="dxa"/>
            </w:tcMar>
            <w:vAlign w:val="center"/>
          </w:tcPr>
          <w:p>
            <w:pPr>
              <w:spacing w:after="0"/>
            </w:pPr>
            <w:r>
              <w:rPr>
                <w:rFonts w:ascii="Arial" w:hAnsi="Arial"/>
                <w:sz w:val="18"/>
              </w:rPr>
              <w:t>5694</w:t>
            </w:r>
          </w:p>
        </w:tc>
        <w:tc>
          <w:tcPr>
            <w:tcW w:type="dxa" w:w="3430"/>
            <w:tcMar>
              <w:top w:w="80" w:type="dxa"/>
              <w:start w:w="120" w:type="dxa"/>
              <w:bottom w:w="80" w:type="dxa"/>
              <w:end w:w="120" w:type="dxa"/>
            </w:tcMar>
            <w:vAlign w:val="center"/>
          </w:tcPr>
          <w:p>
            <w:pPr>
              <w:spacing w:after="0"/>
            </w:pPr>
            <w:r>
              <w:rPr>
                <w:rFonts w:ascii="Arial" w:hAnsi="Arial"/>
                <w:sz w:val="18"/>
              </w:rPr>
              <w:t>2987</w:t>
            </w:r>
          </w:p>
        </w:tc>
      </w:tr>
      <w:tr>
        <w:tc>
          <w:tcPr>
            <w:tcW w:type="dxa" w:w="2500"/>
            <w:tcMar>
              <w:top w:w="80" w:type="dxa"/>
              <w:start w:w="120" w:type="dxa"/>
              <w:bottom w:w="80" w:type="dxa"/>
              <w:end w:w="120" w:type="dxa"/>
            </w:tcMar>
            <w:vAlign w:val="center"/>
          </w:tcPr>
          <w:p>
            <w:pPr>
              <w:spacing w:after="0"/>
            </w:pPr>
            <w:r>
              <w:rPr>
                <w:rFonts w:ascii="Arial" w:hAnsi="Arial"/>
                <w:sz w:val="18"/>
              </w:rPr>
              <w:t>Maximum elongation</w:t>
            </w:r>
          </w:p>
        </w:tc>
        <w:tc>
          <w:tcPr>
            <w:tcW w:type="dxa" w:w="3430"/>
            <w:tcMar>
              <w:top w:w="80" w:type="dxa"/>
              <w:start w:w="120" w:type="dxa"/>
              <w:bottom w:w="80" w:type="dxa"/>
              <w:end w:w="120" w:type="dxa"/>
            </w:tcMar>
            <w:vAlign w:val="center"/>
          </w:tcPr>
          <w:p>
            <w:pPr>
              <w:spacing w:after="0"/>
            </w:pPr>
            <w:r>
              <w:rPr>
                <w:rFonts w:ascii="Arial" w:hAnsi="Arial"/>
                <w:sz w:val="18"/>
              </w:rPr>
              <w:t>8.50</w:t>
            </w:r>
          </w:p>
        </w:tc>
        <w:tc>
          <w:tcPr>
            <w:tcW w:type="dxa" w:w="3430"/>
            <w:tcMar>
              <w:top w:w="80" w:type="dxa"/>
              <w:start w:w="120" w:type="dxa"/>
              <w:bottom w:w="80" w:type="dxa"/>
              <w:end w:w="120" w:type="dxa"/>
            </w:tcMar>
            <w:vAlign w:val="center"/>
          </w:tcPr>
          <w:p>
            <w:pPr>
              <w:spacing w:after="0"/>
            </w:pPr>
            <w:r>
              <w:rPr>
                <w:rFonts w:ascii="Arial" w:hAnsi="Arial"/>
                <w:sz w:val="18"/>
              </w:rPr>
              <w:t>12.38</w:t>
            </w:r>
          </w:p>
        </w:tc>
      </w:tr>
    </w:tbl>
    <w:p>
      <w:pPr>
        <w:pStyle w:val="Heading1"/>
        <w:keepNext/>
      </w:pPr>
      <w:r>
        <w:t>3. Cross-validation comparison</w:t>
      </w:r>
    </w:p>
    <w:p>
      <w:r>
        <w:t>The four-fold held-out means summarise generalisation across all four rotations. The selected-candidate rows show each winner on its own common 40-galaxy injected evaluation set. Higher toy recall and toy detection are better; lower masked fraction is safer.</w:t>
      </w:r>
    </w:p>
    <w:tbl>
      <w:tblPr>
        <w:tblStyle w:val="TableGrid"/>
        <w:tblW w:type="dxa" w:w="9360"/>
        <w:jc w:val="left"/>
        <w:tblLayout w:type="fixed"/>
        <w:tblLook w:firstColumn="1" w:firstRow="1" w:lastColumn="0" w:lastRow="0" w:noHBand="0" w:noVBand="1" w:val="04A0"/>
        <w:tblInd w:w="120" w:type="dxa"/>
      </w:tblPr>
      <w:tblGrid>
        <w:gridCol w:w="3000"/>
        <w:gridCol w:w="1450"/>
        <w:gridCol w:w="1450"/>
        <w:gridCol w:w="3460"/>
      </w:tblGrid>
      <w:tr>
        <w:trPr>
          <w:tblHeader w:val="true"/>
        </w:trPr>
        <w:tc>
          <w:tcPr>
            <w:tcW w:type="dxa" w:w="3000"/>
            <w:tcMar>
              <w:top w:w="80" w:type="dxa"/>
              <w:start w:w="120" w:type="dxa"/>
              <w:bottom w:w="80" w:type="dxa"/>
              <w:end w:w="120" w:type="dxa"/>
            </w:tcMar>
            <w:vAlign w:val="center"/>
            <w:shd w:fill="E8EEF5"/>
          </w:tcPr>
          <w:p>
            <w:r>
              <w:rPr>
                <w:rFonts w:ascii="Arial" w:hAnsi="Arial"/>
                <w:b/>
                <w:sz w:val="18"/>
              </w:rPr>
              <w:t>Metric</w:t>
            </w:r>
          </w:p>
        </w:tc>
        <w:tc>
          <w:tcPr>
            <w:tcW w:type="dxa" w:w="1450"/>
            <w:tcMar>
              <w:top w:w="80" w:type="dxa"/>
              <w:start w:w="120" w:type="dxa"/>
              <w:bottom w:w="80" w:type="dxa"/>
              <w:end w:w="120" w:type="dxa"/>
            </w:tcMar>
            <w:vAlign w:val="center"/>
            <w:shd w:fill="E8EEF5"/>
          </w:tcPr>
          <w:p>
            <w:r>
              <w:rPr>
                <w:rFonts w:ascii="Arial" w:hAnsi="Arial"/>
                <w:b/>
                <w:sz w:val="18"/>
              </w:rPr>
              <w:t>SEP</w:t>
            </w:r>
          </w:p>
        </w:tc>
        <w:tc>
          <w:tcPr>
            <w:tcW w:type="dxa" w:w="1450"/>
            <w:tcMar>
              <w:top w:w="80" w:type="dxa"/>
              <w:start w:w="120" w:type="dxa"/>
              <w:bottom w:w="80" w:type="dxa"/>
              <w:end w:w="120" w:type="dxa"/>
            </w:tcMar>
            <w:vAlign w:val="center"/>
            <w:shd w:fill="E8EEF5"/>
          </w:tcPr>
          <w:p>
            <w:r>
              <w:rPr>
                <w:rFonts w:ascii="Arial" w:hAnsi="Arial"/>
                <w:b/>
                <w:sz w:val="18"/>
              </w:rPr>
              <w:t>MTObjects</w:t>
            </w:r>
          </w:p>
        </w:tc>
        <w:tc>
          <w:tcPr>
            <w:tcW w:type="dxa" w:w="3460"/>
            <w:tcMar>
              <w:top w:w="80" w:type="dxa"/>
              <w:start w:w="120" w:type="dxa"/>
              <w:bottom w:w="80" w:type="dxa"/>
              <w:end w:w="120" w:type="dxa"/>
            </w:tcMar>
            <w:vAlign w:val="center"/>
            <w:shd w:fill="E8EEF5"/>
          </w:tcPr>
          <w:p>
            <w:r>
              <w:rPr>
                <w:rFonts w:ascii="Arial" w:hAnsi="Arial"/>
                <w:b/>
                <w:sz w:val="18"/>
              </w:rPr>
              <w:t>Interpretation</w:t>
            </w:r>
          </w:p>
        </w:tc>
      </w:tr>
      <w:tr>
        <w:tc>
          <w:tcPr>
            <w:tcW w:type="dxa" w:w="3000"/>
            <w:tcMar>
              <w:top w:w="80" w:type="dxa"/>
              <w:start w:w="120" w:type="dxa"/>
              <w:bottom w:w="80" w:type="dxa"/>
              <w:end w:w="120" w:type="dxa"/>
            </w:tcMar>
            <w:vAlign w:val="center"/>
          </w:tcPr>
          <w:p>
            <w:pPr>
              <w:spacing w:after="0"/>
            </w:pPr>
            <w:r>
              <w:rPr>
                <w:rFonts w:ascii="Arial" w:hAnsi="Arial"/>
                <w:sz w:val="18"/>
              </w:rPr>
              <w:t>Four-fold held-out toy recall</w:t>
            </w:r>
          </w:p>
        </w:tc>
        <w:tc>
          <w:tcPr>
            <w:tcW w:type="dxa" w:w="1450"/>
            <w:tcMar>
              <w:top w:w="80" w:type="dxa"/>
              <w:start w:w="120" w:type="dxa"/>
              <w:bottom w:w="80" w:type="dxa"/>
              <w:end w:w="120" w:type="dxa"/>
            </w:tcMar>
            <w:vAlign w:val="center"/>
          </w:tcPr>
          <w:p>
            <w:pPr>
              <w:spacing w:after="0"/>
            </w:pPr>
            <w:r>
              <w:rPr>
                <w:rFonts w:ascii="Arial" w:hAnsi="Arial"/>
                <w:sz w:val="18"/>
              </w:rPr>
              <w:t>57.3%</w:t>
            </w:r>
          </w:p>
        </w:tc>
        <w:tc>
          <w:tcPr>
            <w:tcW w:type="dxa" w:w="1450"/>
            <w:tcMar>
              <w:top w:w="80" w:type="dxa"/>
              <w:start w:w="120" w:type="dxa"/>
              <w:bottom w:w="80" w:type="dxa"/>
              <w:end w:w="120" w:type="dxa"/>
            </w:tcMar>
            <w:vAlign w:val="center"/>
          </w:tcPr>
          <w:p>
            <w:pPr>
              <w:spacing w:after="0"/>
            </w:pPr>
            <w:r>
              <w:rPr>
                <w:rFonts w:ascii="Arial" w:hAnsi="Arial"/>
                <w:sz w:val="18"/>
              </w:rPr>
              <w:t>47.6%</w:t>
            </w:r>
          </w:p>
        </w:tc>
        <w:tc>
          <w:tcPr>
            <w:tcW w:type="dxa" w:w="3460"/>
            <w:tcMar>
              <w:top w:w="80" w:type="dxa"/>
              <w:start w:w="120" w:type="dxa"/>
              <w:bottom w:w="80" w:type="dxa"/>
              <w:end w:w="120" w:type="dxa"/>
            </w:tcMar>
            <w:vAlign w:val="center"/>
          </w:tcPr>
          <w:p>
            <w:pPr>
              <w:spacing w:after="0"/>
            </w:pPr>
            <w:r>
              <w:rPr>
                <w:rFonts w:ascii="Arial" w:hAnsi="Arial"/>
                <w:sz w:val="18"/>
              </w:rPr>
              <w:t>SEP +9.7 percentage points</w:t>
            </w:r>
          </w:p>
        </w:tc>
      </w:tr>
      <w:tr>
        <w:tc>
          <w:tcPr>
            <w:tcW w:type="dxa" w:w="3000"/>
            <w:tcMar>
              <w:top w:w="80" w:type="dxa"/>
              <w:start w:w="120" w:type="dxa"/>
              <w:bottom w:w="80" w:type="dxa"/>
              <w:end w:w="120" w:type="dxa"/>
            </w:tcMar>
            <w:vAlign w:val="center"/>
          </w:tcPr>
          <w:p>
            <w:pPr>
              <w:spacing w:after="0"/>
            </w:pPr>
            <w:r>
              <w:rPr>
                <w:rFonts w:ascii="Arial" w:hAnsi="Arial"/>
                <w:sz w:val="18"/>
              </w:rPr>
              <w:t>Four-fold held-out toy detection</w:t>
            </w:r>
          </w:p>
        </w:tc>
        <w:tc>
          <w:tcPr>
            <w:tcW w:type="dxa" w:w="1450"/>
            <w:tcMar>
              <w:top w:w="80" w:type="dxa"/>
              <w:start w:w="120" w:type="dxa"/>
              <w:bottom w:w="80" w:type="dxa"/>
              <w:end w:w="120" w:type="dxa"/>
            </w:tcMar>
            <w:vAlign w:val="center"/>
          </w:tcPr>
          <w:p>
            <w:pPr>
              <w:spacing w:after="0"/>
            </w:pPr>
            <w:r>
              <w:rPr>
                <w:rFonts w:ascii="Arial" w:hAnsi="Arial"/>
                <w:sz w:val="18"/>
              </w:rPr>
              <w:t>57.9%</w:t>
            </w:r>
          </w:p>
        </w:tc>
        <w:tc>
          <w:tcPr>
            <w:tcW w:type="dxa" w:w="1450"/>
            <w:tcMar>
              <w:top w:w="80" w:type="dxa"/>
              <w:start w:w="120" w:type="dxa"/>
              <w:bottom w:w="80" w:type="dxa"/>
              <w:end w:w="120" w:type="dxa"/>
            </w:tcMar>
            <w:vAlign w:val="center"/>
          </w:tcPr>
          <w:p>
            <w:pPr>
              <w:spacing w:after="0"/>
            </w:pPr>
            <w:r>
              <w:rPr>
                <w:rFonts w:ascii="Arial" w:hAnsi="Arial"/>
                <w:sz w:val="18"/>
              </w:rPr>
              <w:t>50.4%</w:t>
            </w:r>
          </w:p>
        </w:tc>
        <w:tc>
          <w:tcPr>
            <w:tcW w:type="dxa" w:w="3460"/>
            <w:tcMar>
              <w:top w:w="80" w:type="dxa"/>
              <w:start w:w="120" w:type="dxa"/>
              <w:bottom w:w="80" w:type="dxa"/>
              <w:end w:w="120" w:type="dxa"/>
            </w:tcMar>
            <w:vAlign w:val="center"/>
          </w:tcPr>
          <w:p>
            <w:pPr>
              <w:spacing w:after="0"/>
            </w:pPr>
            <w:r>
              <w:rPr>
                <w:rFonts w:ascii="Arial" w:hAnsi="Arial"/>
                <w:sz w:val="18"/>
              </w:rPr>
              <w:t>SEP +7.5 percentage points</w:t>
            </w:r>
          </w:p>
        </w:tc>
      </w:tr>
      <w:tr>
        <w:tc>
          <w:tcPr>
            <w:tcW w:type="dxa" w:w="3000"/>
            <w:tcMar>
              <w:top w:w="80" w:type="dxa"/>
              <w:start w:w="120" w:type="dxa"/>
              <w:bottom w:w="80" w:type="dxa"/>
              <w:end w:w="120" w:type="dxa"/>
            </w:tcMar>
            <w:vAlign w:val="center"/>
          </w:tcPr>
          <w:p>
            <w:pPr>
              <w:spacing w:after="0"/>
            </w:pPr>
            <w:r>
              <w:rPr>
                <w:rFonts w:ascii="Arial" w:hAnsi="Arial"/>
                <w:sz w:val="18"/>
              </w:rPr>
              <w:t>Four-fold held-out masked area</w:t>
            </w:r>
          </w:p>
        </w:tc>
        <w:tc>
          <w:tcPr>
            <w:tcW w:type="dxa" w:w="1450"/>
            <w:tcMar>
              <w:top w:w="80" w:type="dxa"/>
              <w:start w:w="120" w:type="dxa"/>
              <w:bottom w:w="80" w:type="dxa"/>
              <w:end w:w="120" w:type="dxa"/>
            </w:tcMar>
            <w:vAlign w:val="center"/>
          </w:tcPr>
          <w:p>
            <w:pPr>
              <w:spacing w:after="0"/>
            </w:pPr>
            <w:r>
              <w:rPr>
                <w:rFonts w:ascii="Arial" w:hAnsi="Arial"/>
                <w:sz w:val="18"/>
              </w:rPr>
              <w:t>6.6%</w:t>
            </w:r>
          </w:p>
        </w:tc>
        <w:tc>
          <w:tcPr>
            <w:tcW w:type="dxa" w:w="1450"/>
            <w:tcMar>
              <w:top w:w="80" w:type="dxa"/>
              <w:start w:w="120" w:type="dxa"/>
              <w:bottom w:w="80" w:type="dxa"/>
              <w:end w:w="120" w:type="dxa"/>
            </w:tcMar>
            <w:vAlign w:val="center"/>
          </w:tcPr>
          <w:p>
            <w:pPr>
              <w:spacing w:after="0"/>
            </w:pPr>
            <w:r>
              <w:rPr>
                <w:rFonts w:ascii="Arial" w:hAnsi="Arial"/>
                <w:sz w:val="18"/>
              </w:rPr>
              <w:t>7.5%</w:t>
            </w:r>
          </w:p>
        </w:tc>
        <w:tc>
          <w:tcPr>
            <w:tcW w:type="dxa" w:w="3460"/>
            <w:tcMar>
              <w:top w:w="80" w:type="dxa"/>
              <w:start w:w="120" w:type="dxa"/>
              <w:bottom w:w="80" w:type="dxa"/>
              <w:end w:w="120" w:type="dxa"/>
            </w:tcMar>
            <w:vAlign w:val="center"/>
          </w:tcPr>
          <w:p>
            <w:pPr>
              <w:spacing w:after="0"/>
            </w:pPr>
            <w:r>
              <w:rPr>
                <w:rFonts w:ascii="Arial" w:hAnsi="Arial"/>
                <w:sz w:val="18"/>
              </w:rPr>
              <w:t>SEP lower by 0.85 points across folds</w:t>
            </w:r>
          </w:p>
        </w:tc>
      </w:tr>
      <w:tr>
        <w:tc>
          <w:tcPr>
            <w:tcW w:type="dxa" w:w="3000"/>
            <w:tcMar>
              <w:top w:w="80" w:type="dxa"/>
              <w:start w:w="120" w:type="dxa"/>
              <w:bottom w:w="80" w:type="dxa"/>
              <w:end w:w="120" w:type="dxa"/>
            </w:tcMar>
            <w:vAlign w:val="center"/>
          </w:tcPr>
          <w:p>
            <w:pPr>
              <w:spacing w:after="0"/>
            </w:pPr>
            <w:r>
              <w:rPr>
                <w:rFonts w:ascii="Arial" w:hAnsi="Arial"/>
                <w:sz w:val="18"/>
              </w:rPr>
              <w:t>Winner common-40 toy recall</w:t>
            </w:r>
          </w:p>
        </w:tc>
        <w:tc>
          <w:tcPr>
            <w:tcW w:type="dxa" w:w="1450"/>
            <w:tcMar>
              <w:top w:w="80" w:type="dxa"/>
              <w:start w:w="120" w:type="dxa"/>
              <w:bottom w:w="80" w:type="dxa"/>
              <w:end w:w="120" w:type="dxa"/>
            </w:tcMar>
            <w:vAlign w:val="center"/>
          </w:tcPr>
          <w:p>
            <w:pPr>
              <w:spacing w:after="0"/>
            </w:pPr>
            <w:r>
              <w:rPr>
                <w:rFonts w:ascii="Arial" w:hAnsi="Arial"/>
                <w:sz w:val="18"/>
              </w:rPr>
              <w:t>59.9%</w:t>
            </w:r>
          </w:p>
        </w:tc>
        <w:tc>
          <w:tcPr>
            <w:tcW w:type="dxa" w:w="1450"/>
            <w:tcMar>
              <w:top w:w="80" w:type="dxa"/>
              <w:start w:w="120" w:type="dxa"/>
              <w:bottom w:w="80" w:type="dxa"/>
              <w:end w:w="120" w:type="dxa"/>
            </w:tcMar>
            <w:vAlign w:val="center"/>
          </w:tcPr>
          <w:p>
            <w:pPr>
              <w:spacing w:after="0"/>
            </w:pPr>
            <w:r>
              <w:rPr>
                <w:rFonts w:ascii="Arial" w:hAnsi="Arial"/>
                <w:sz w:val="18"/>
              </w:rPr>
              <w:t>50.7%</w:t>
            </w:r>
          </w:p>
        </w:tc>
        <w:tc>
          <w:tcPr>
            <w:tcW w:type="dxa" w:w="3460"/>
            <w:tcMar>
              <w:top w:w="80" w:type="dxa"/>
              <w:start w:w="120" w:type="dxa"/>
              <w:bottom w:w="80" w:type="dxa"/>
              <w:end w:w="120" w:type="dxa"/>
            </w:tcMar>
            <w:vAlign w:val="center"/>
          </w:tcPr>
          <w:p>
            <w:pPr>
              <w:spacing w:after="0"/>
            </w:pPr>
            <w:r>
              <w:rPr>
                <w:rFonts w:ascii="Arial" w:hAnsi="Arial"/>
                <w:sz w:val="18"/>
              </w:rPr>
              <w:t>SEP higher; seeds differ between runs</w:t>
            </w:r>
          </w:p>
        </w:tc>
      </w:tr>
      <w:tr>
        <w:tc>
          <w:tcPr>
            <w:tcW w:type="dxa" w:w="3000"/>
            <w:tcMar>
              <w:top w:w="80" w:type="dxa"/>
              <w:start w:w="120" w:type="dxa"/>
              <w:bottom w:w="80" w:type="dxa"/>
              <w:end w:w="120" w:type="dxa"/>
            </w:tcMar>
            <w:vAlign w:val="center"/>
          </w:tcPr>
          <w:p>
            <w:pPr>
              <w:spacing w:after="0"/>
            </w:pPr>
            <w:r>
              <w:rPr>
                <w:rFonts w:ascii="Arial" w:hAnsi="Arial"/>
                <w:sz w:val="18"/>
              </w:rPr>
              <w:t>Winner common-40 toy detection</w:t>
            </w:r>
          </w:p>
        </w:tc>
        <w:tc>
          <w:tcPr>
            <w:tcW w:type="dxa" w:w="1450"/>
            <w:tcMar>
              <w:top w:w="80" w:type="dxa"/>
              <w:start w:w="120" w:type="dxa"/>
              <w:bottom w:w="80" w:type="dxa"/>
              <w:end w:w="120" w:type="dxa"/>
            </w:tcMar>
            <w:vAlign w:val="center"/>
          </w:tcPr>
          <w:p>
            <w:pPr>
              <w:spacing w:after="0"/>
            </w:pPr>
            <w:r>
              <w:rPr>
                <w:rFonts w:ascii="Arial" w:hAnsi="Arial"/>
                <w:sz w:val="18"/>
              </w:rPr>
              <w:t>62.1%</w:t>
            </w:r>
          </w:p>
        </w:tc>
        <w:tc>
          <w:tcPr>
            <w:tcW w:type="dxa" w:w="1450"/>
            <w:tcMar>
              <w:top w:w="80" w:type="dxa"/>
              <w:start w:w="120" w:type="dxa"/>
              <w:bottom w:w="80" w:type="dxa"/>
              <w:end w:w="120" w:type="dxa"/>
            </w:tcMar>
            <w:vAlign w:val="center"/>
          </w:tcPr>
          <w:p>
            <w:pPr>
              <w:spacing w:after="0"/>
            </w:pPr>
            <w:r>
              <w:rPr>
                <w:rFonts w:ascii="Arial" w:hAnsi="Arial"/>
                <w:sz w:val="18"/>
              </w:rPr>
              <w:t>53.3%</w:t>
            </w:r>
          </w:p>
        </w:tc>
        <w:tc>
          <w:tcPr>
            <w:tcW w:type="dxa" w:w="3460"/>
            <w:tcMar>
              <w:top w:w="80" w:type="dxa"/>
              <w:start w:w="120" w:type="dxa"/>
              <w:bottom w:w="80" w:type="dxa"/>
              <w:end w:w="120" w:type="dxa"/>
            </w:tcMar>
            <w:vAlign w:val="center"/>
          </w:tcPr>
          <w:p>
            <w:pPr>
              <w:spacing w:after="0"/>
            </w:pPr>
            <w:r>
              <w:rPr>
                <w:rFonts w:ascii="Arial" w:hAnsi="Arial"/>
                <w:sz w:val="18"/>
              </w:rPr>
              <w:t>SEP higher; seeds differ between runs</w:t>
            </w:r>
          </w:p>
        </w:tc>
      </w:tr>
      <w:tr>
        <w:tc>
          <w:tcPr>
            <w:tcW w:type="dxa" w:w="3000"/>
            <w:tcMar>
              <w:top w:w="80" w:type="dxa"/>
              <w:start w:w="120" w:type="dxa"/>
              <w:bottom w:w="80" w:type="dxa"/>
              <w:end w:w="120" w:type="dxa"/>
            </w:tcMar>
            <w:vAlign w:val="center"/>
          </w:tcPr>
          <w:p>
            <w:pPr>
              <w:spacing w:after="0"/>
            </w:pPr>
            <w:r>
              <w:rPr>
                <w:rFonts w:ascii="Arial" w:hAnsi="Arial"/>
                <w:sz w:val="18"/>
              </w:rPr>
              <w:t>Winner common-40 masked area</w:t>
            </w:r>
          </w:p>
        </w:tc>
        <w:tc>
          <w:tcPr>
            <w:tcW w:type="dxa" w:w="1450"/>
            <w:tcMar>
              <w:top w:w="80" w:type="dxa"/>
              <w:start w:w="120" w:type="dxa"/>
              <w:bottom w:w="80" w:type="dxa"/>
              <w:end w:w="120" w:type="dxa"/>
            </w:tcMar>
            <w:vAlign w:val="center"/>
          </w:tcPr>
          <w:p>
            <w:pPr>
              <w:spacing w:after="0"/>
            </w:pPr>
            <w:r>
              <w:rPr>
                <w:rFonts w:ascii="Arial" w:hAnsi="Arial"/>
                <w:sz w:val="18"/>
              </w:rPr>
              <w:t>8.5%</w:t>
            </w:r>
          </w:p>
        </w:tc>
        <w:tc>
          <w:tcPr>
            <w:tcW w:type="dxa" w:w="1450"/>
            <w:tcMar>
              <w:top w:w="80" w:type="dxa"/>
              <w:start w:w="120" w:type="dxa"/>
              <w:bottom w:w="80" w:type="dxa"/>
              <w:end w:w="120" w:type="dxa"/>
            </w:tcMar>
            <w:vAlign w:val="center"/>
          </w:tcPr>
          <w:p>
            <w:pPr>
              <w:spacing w:after="0"/>
            </w:pPr>
            <w:r>
              <w:rPr>
                <w:rFonts w:ascii="Arial" w:hAnsi="Arial"/>
                <w:sz w:val="18"/>
              </w:rPr>
              <w:t>9.1%</w:t>
            </w:r>
          </w:p>
        </w:tc>
        <w:tc>
          <w:tcPr>
            <w:tcW w:type="dxa" w:w="3460"/>
            <w:tcMar>
              <w:top w:w="80" w:type="dxa"/>
              <w:start w:w="120" w:type="dxa"/>
              <w:bottom w:w="80" w:type="dxa"/>
              <w:end w:w="120" w:type="dxa"/>
            </w:tcMar>
            <w:vAlign w:val="center"/>
          </w:tcPr>
          <w:p>
            <w:pPr>
              <w:spacing w:after="0"/>
            </w:pPr>
            <w:r>
              <w:rPr>
                <w:rFonts w:ascii="Arial" w:hAnsi="Arial"/>
                <w:sz w:val="18"/>
              </w:rPr>
              <w:t>Similar, with SEP slightly lower</w:t>
            </w:r>
          </w:p>
        </w:tc>
      </w:tr>
    </w:tbl>
    <w:p>
      <w:r>
        <w:t>Pixel precision and pixel F-score are very low for both methods under the current diagnostic definition because any mask not overlapping injected toy truth is counted as false-positive area, including masks on real foreground sources. These columns are useful for consistent optimisation within a run, but they do not estimate real-world catalogue precision and should not be the primary algorithm-selection statistic.</w:t>
      </w:r>
    </w:p>
    <w:p>
      <w:pPr>
        <w:pStyle w:val="Heading1"/>
        <w:keepNext/>
      </w:pPr>
      <w:r>
        <w:t>4. Full 182-galaxy behaviour</w:t>
      </w:r>
    </w:p>
    <w:tbl>
      <w:tblPr>
        <w:tblStyle w:val="TableGrid"/>
        <w:tblW w:type="dxa" w:w="9360"/>
        <w:jc w:val="left"/>
        <w:tblLayout w:type="fixed"/>
        <w:tblLook w:firstColumn="1" w:firstRow="1" w:lastColumn="0" w:lastRow="0" w:noHBand="0" w:noVBand="1" w:val="04A0"/>
        <w:tblInd w:w="120" w:type="dxa"/>
      </w:tblPr>
      <w:tblGrid>
        <w:gridCol w:w="3100"/>
        <w:gridCol w:w="1700"/>
        <w:gridCol w:w="1700"/>
        <w:gridCol w:w="2860"/>
      </w:tblGrid>
      <w:tr>
        <w:trPr>
          <w:tblHeader w:val="true"/>
        </w:trPr>
        <w:tc>
          <w:tcPr>
            <w:tcW w:type="dxa" w:w="3100"/>
            <w:tcMar>
              <w:top w:w="80" w:type="dxa"/>
              <w:start w:w="120" w:type="dxa"/>
              <w:bottom w:w="80" w:type="dxa"/>
              <w:end w:w="120" w:type="dxa"/>
            </w:tcMar>
            <w:vAlign w:val="center"/>
            <w:shd w:fill="E8EEF5"/>
          </w:tcPr>
          <w:p>
            <w:r>
              <w:rPr>
                <w:rFonts w:ascii="Arial" w:hAnsi="Arial"/>
                <w:b/>
                <w:sz w:val="18"/>
              </w:rPr>
              <w:t>Production measure</w:t>
            </w:r>
          </w:p>
        </w:tc>
        <w:tc>
          <w:tcPr>
            <w:tcW w:type="dxa" w:w="1700"/>
            <w:tcMar>
              <w:top w:w="80" w:type="dxa"/>
              <w:start w:w="120" w:type="dxa"/>
              <w:bottom w:w="80" w:type="dxa"/>
              <w:end w:w="120" w:type="dxa"/>
            </w:tcMar>
            <w:vAlign w:val="center"/>
            <w:shd w:fill="E8EEF5"/>
          </w:tcPr>
          <w:p>
            <w:r>
              <w:rPr>
                <w:rFonts w:ascii="Arial" w:hAnsi="Arial"/>
                <w:b/>
                <w:sz w:val="18"/>
              </w:rPr>
              <w:t>SEP</w:t>
            </w:r>
          </w:p>
        </w:tc>
        <w:tc>
          <w:tcPr>
            <w:tcW w:type="dxa" w:w="1700"/>
            <w:tcMar>
              <w:top w:w="80" w:type="dxa"/>
              <w:start w:w="120" w:type="dxa"/>
              <w:bottom w:w="80" w:type="dxa"/>
              <w:end w:w="120" w:type="dxa"/>
            </w:tcMar>
            <w:vAlign w:val="center"/>
            <w:shd w:fill="E8EEF5"/>
          </w:tcPr>
          <w:p>
            <w:r>
              <w:rPr>
                <w:rFonts w:ascii="Arial" w:hAnsi="Arial"/>
                <w:b/>
                <w:sz w:val="18"/>
              </w:rPr>
              <w:t>MTObjects</w:t>
            </w:r>
          </w:p>
        </w:tc>
        <w:tc>
          <w:tcPr>
            <w:tcW w:type="dxa" w:w="2860"/>
            <w:tcMar>
              <w:top w:w="80" w:type="dxa"/>
              <w:start w:w="120" w:type="dxa"/>
              <w:bottom w:w="80" w:type="dxa"/>
              <w:end w:w="120" w:type="dxa"/>
            </w:tcMar>
            <w:vAlign w:val="center"/>
            <w:shd w:fill="E8EEF5"/>
          </w:tcPr>
          <w:p>
            <w:r>
              <w:rPr>
                <w:rFonts w:ascii="Arial" w:hAnsi="Arial"/>
                <w:b/>
                <w:sz w:val="18"/>
              </w:rPr>
              <w:t>Preferred</w:t>
            </w:r>
          </w:p>
        </w:tc>
      </w:tr>
      <w:tr>
        <w:tc>
          <w:tcPr>
            <w:tcW w:type="dxa" w:w="3100"/>
            <w:tcMar>
              <w:top w:w="80" w:type="dxa"/>
              <w:start w:w="120" w:type="dxa"/>
              <w:bottom w:w="80" w:type="dxa"/>
              <w:end w:w="120" w:type="dxa"/>
            </w:tcMar>
            <w:vAlign w:val="center"/>
          </w:tcPr>
          <w:p>
            <w:pPr>
              <w:spacing w:after="0"/>
            </w:pPr>
            <w:r>
              <w:rPr>
                <w:rFonts w:ascii="Arial" w:hAnsi="Arial"/>
                <w:sz w:val="18"/>
              </w:rPr>
              <w:t>Successful reports</w:t>
            </w:r>
          </w:p>
        </w:tc>
        <w:tc>
          <w:tcPr>
            <w:tcW w:type="dxa" w:w="1700"/>
            <w:tcMar>
              <w:top w:w="80" w:type="dxa"/>
              <w:start w:w="120" w:type="dxa"/>
              <w:bottom w:w="80" w:type="dxa"/>
              <w:end w:w="120" w:type="dxa"/>
            </w:tcMar>
            <w:vAlign w:val="center"/>
          </w:tcPr>
          <w:p>
            <w:pPr>
              <w:spacing w:after="0"/>
            </w:pPr>
            <w:r>
              <w:rPr>
                <w:rFonts w:ascii="Arial" w:hAnsi="Arial"/>
                <w:sz w:val="18"/>
              </w:rPr>
              <w:t>182/182</w:t>
            </w:r>
          </w:p>
        </w:tc>
        <w:tc>
          <w:tcPr>
            <w:tcW w:type="dxa" w:w="1700"/>
            <w:tcMar>
              <w:top w:w="80" w:type="dxa"/>
              <w:start w:w="120" w:type="dxa"/>
              <w:bottom w:w="80" w:type="dxa"/>
              <w:end w:w="120" w:type="dxa"/>
            </w:tcMar>
            <w:vAlign w:val="center"/>
          </w:tcPr>
          <w:p>
            <w:pPr>
              <w:spacing w:after="0"/>
            </w:pPr>
            <w:r>
              <w:rPr>
                <w:rFonts w:ascii="Arial" w:hAnsi="Arial"/>
                <w:sz w:val="18"/>
              </w:rPr>
              <w:t>182/182</w:t>
            </w:r>
          </w:p>
        </w:tc>
        <w:tc>
          <w:tcPr>
            <w:tcW w:type="dxa" w:w="2860"/>
            <w:tcMar>
              <w:top w:w="80" w:type="dxa"/>
              <w:start w:w="120" w:type="dxa"/>
              <w:bottom w:w="80" w:type="dxa"/>
              <w:end w:w="120" w:type="dxa"/>
            </w:tcMar>
            <w:vAlign w:val="center"/>
          </w:tcPr>
          <w:p>
            <w:pPr>
              <w:spacing w:after="0"/>
            </w:pPr>
            <w:r>
              <w:rPr>
                <w:rFonts w:ascii="Arial" w:hAnsi="Arial"/>
                <w:sz w:val="18"/>
              </w:rPr>
              <w:t>Tie</w:t>
            </w:r>
          </w:p>
        </w:tc>
      </w:tr>
      <w:tr>
        <w:tc>
          <w:tcPr>
            <w:tcW w:type="dxa" w:w="3100"/>
            <w:tcMar>
              <w:top w:w="80" w:type="dxa"/>
              <w:start w:w="120" w:type="dxa"/>
              <w:bottom w:w="80" w:type="dxa"/>
              <w:end w:w="120" w:type="dxa"/>
            </w:tcMar>
            <w:vAlign w:val="center"/>
          </w:tcPr>
          <w:p>
            <w:pPr>
              <w:spacing w:after="0"/>
            </w:pPr>
            <w:r>
              <w:rPr>
                <w:rFonts w:ascii="Arial" w:hAnsi="Arial"/>
                <w:sz w:val="18"/>
              </w:rPr>
              <w:t>Mean masked area</w:t>
            </w:r>
          </w:p>
        </w:tc>
        <w:tc>
          <w:tcPr>
            <w:tcW w:type="dxa" w:w="1700"/>
            <w:tcMar>
              <w:top w:w="80" w:type="dxa"/>
              <w:start w:w="120" w:type="dxa"/>
              <w:bottom w:w="80" w:type="dxa"/>
              <w:end w:w="120" w:type="dxa"/>
            </w:tcMar>
            <w:vAlign w:val="center"/>
          </w:tcPr>
          <w:p>
            <w:pPr>
              <w:spacing w:after="0"/>
            </w:pPr>
            <w:r>
              <w:rPr>
                <w:rFonts w:ascii="Arial" w:hAnsi="Arial"/>
                <w:sz w:val="18"/>
              </w:rPr>
              <w:t>11.7%</w:t>
            </w:r>
          </w:p>
        </w:tc>
        <w:tc>
          <w:tcPr>
            <w:tcW w:type="dxa" w:w="1700"/>
            <w:tcMar>
              <w:top w:w="80" w:type="dxa"/>
              <w:start w:w="120" w:type="dxa"/>
              <w:bottom w:w="80" w:type="dxa"/>
              <w:end w:w="120" w:type="dxa"/>
            </w:tcMar>
            <w:vAlign w:val="center"/>
          </w:tcPr>
          <w:p>
            <w:pPr>
              <w:spacing w:after="0"/>
            </w:pPr>
            <w:r>
              <w:rPr>
                <w:rFonts w:ascii="Arial" w:hAnsi="Arial"/>
                <w:sz w:val="18"/>
              </w:rPr>
              <w:t>8.9%</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r>
        <w:tc>
          <w:tcPr>
            <w:tcW w:type="dxa" w:w="3100"/>
            <w:tcMar>
              <w:top w:w="80" w:type="dxa"/>
              <w:start w:w="120" w:type="dxa"/>
              <w:bottom w:w="80" w:type="dxa"/>
              <w:end w:w="120" w:type="dxa"/>
            </w:tcMar>
            <w:vAlign w:val="center"/>
          </w:tcPr>
          <w:p>
            <w:pPr>
              <w:spacing w:after="0"/>
            </w:pPr>
            <w:r>
              <w:rPr>
                <w:rFonts w:ascii="Arial" w:hAnsi="Arial"/>
                <w:sz w:val="18"/>
              </w:rPr>
              <w:t>Median masked area</w:t>
            </w:r>
          </w:p>
        </w:tc>
        <w:tc>
          <w:tcPr>
            <w:tcW w:type="dxa" w:w="1700"/>
            <w:tcMar>
              <w:top w:w="80" w:type="dxa"/>
              <w:start w:w="120" w:type="dxa"/>
              <w:bottom w:w="80" w:type="dxa"/>
              <w:end w:w="120" w:type="dxa"/>
            </w:tcMar>
            <w:vAlign w:val="center"/>
          </w:tcPr>
          <w:p>
            <w:pPr>
              <w:spacing w:after="0"/>
            </w:pPr>
            <w:r>
              <w:rPr>
                <w:rFonts w:ascii="Arial" w:hAnsi="Arial"/>
                <w:sz w:val="18"/>
              </w:rPr>
              <w:t>11.3%</w:t>
            </w:r>
          </w:p>
        </w:tc>
        <w:tc>
          <w:tcPr>
            <w:tcW w:type="dxa" w:w="1700"/>
            <w:tcMar>
              <w:top w:w="80" w:type="dxa"/>
              <w:start w:w="120" w:type="dxa"/>
              <w:bottom w:w="80" w:type="dxa"/>
              <w:end w:w="120" w:type="dxa"/>
            </w:tcMar>
            <w:vAlign w:val="center"/>
          </w:tcPr>
          <w:p>
            <w:pPr>
              <w:spacing w:after="0"/>
            </w:pPr>
            <w:r>
              <w:rPr>
                <w:rFonts w:ascii="Arial" w:hAnsi="Arial"/>
                <w:sz w:val="18"/>
              </w:rPr>
              <w:t>8.8%</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r>
        <w:tc>
          <w:tcPr>
            <w:tcW w:type="dxa" w:w="3100"/>
            <w:tcMar>
              <w:top w:w="80" w:type="dxa"/>
              <w:start w:w="120" w:type="dxa"/>
              <w:bottom w:w="80" w:type="dxa"/>
              <w:end w:w="120" w:type="dxa"/>
            </w:tcMar>
            <w:vAlign w:val="center"/>
          </w:tcPr>
          <w:p>
            <w:pPr>
              <w:spacing w:after="0"/>
            </w:pPr>
            <w:r>
              <w:rPr>
                <w:rFonts w:ascii="Arial" w:hAnsi="Arial"/>
                <w:sz w:val="18"/>
              </w:rPr>
              <w:t>95th percentile masked area</w:t>
            </w:r>
          </w:p>
        </w:tc>
        <w:tc>
          <w:tcPr>
            <w:tcW w:type="dxa" w:w="1700"/>
            <w:tcMar>
              <w:top w:w="80" w:type="dxa"/>
              <w:start w:w="120" w:type="dxa"/>
              <w:bottom w:w="80" w:type="dxa"/>
              <w:end w:w="120" w:type="dxa"/>
            </w:tcMar>
            <w:vAlign w:val="center"/>
          </w:tcPr>
          <w:p>
            <w:pPr>
              <w:spacing w:after="0"/>
            </w:pPr>
            <w:r>
              <w:rPr>
                <w:rFonts w:ascii="Arial" w:hAnsi="Arial"/>
                <w:sz w:val="18"/>
              </w:rPr>
              <w:t>20.0%</w:t>
            </w:r>
          </w:p>
        </w:tc>
        <w:tc>
          <w:tcPr>
            <w:tcW w:type="dxa" w:w="1700"/>
            <w:tcMar>
              <w:top w:w="80" w:type="dxa"/>
              <w:start w:w="120" w:type="dxa"/>
              <w:bottom w:w="80" w:type="dxa"/>
              <w:end w:w="120" w:type="dxa"/>
            </w:tcMar>
            <w:vAlign w:val="center"/>
          </w:tcPr>
          <w:p>
            <w:pPr>
              <w:spacing w:after="0"/>
            </w:pPr>
            <w:r>
              <w:rPr>
                <w:rFonts w:ascii="Arial" w:hAnsi="Arial"/>
                <w:sz w:val="18"/>
              </w:rPr>
              <w:t>12.7%</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r>
        <w:tc>
          <w:tcPr>
            <w:tcW w:type="dxa" w:w="3100"/>
            <w:tcMar>
              <w:top w:w="80" w:type="dxa"/>
              <w:start w:w="120" w:type="dxa"/>
              <w:bottom w:w="80" w:type="dxa"/>
              <w:end w:w="120" w:type="dxa"/>
            </w:tcMar>
            <w:vAlign w:val="center"/>
          </w:tcPr>
          <w:p>
            <w:pPr>
              <w:spacing w:after="0"/>
            </w:pPr>
            <w:r>
              <w:rPr>
                <w:rFonts w:ascii="Arial" w:hAnsi="Arial"/>
                <w:sz w:val="18"/>
              </w:rPr>
              <w:t>Maximum masked area</w:t>
            </w:r>
          </w:p>
        </w:tc>
        <w:tc>
          <w:tcPr>
            <w:tcW w:type="dxa" w:w="1700"/>
            <w:tcMar>
              <w:top w:w="80" w:type="dxa"/>
              <w:start w:w="120" w:type="dxa"/>
              <w:bottom w:w="80" w:type="dxa"/>
              <w:end w:w="120" w:type="dxa"/>
            </w:tcMar>
            <w:vAlign w:val="center"/>
          </w:tcPr>
          <w:p>
            <w:pPr>
              <w:spacing w:after="0"/>
            </w:pPr>
            <w:r>
              <w:rPr>
                <w:rFonts w:ascii="Arial" w:hAnsi="Arial"/>
                <w:sz w:val="18"/>
              </w:rPr>
              <w:t>42.0%</w:t>
            </w:r>
          </w:p>
        </w:tc>
        <w:tc>
          <w:tcPr>
            <w:tcW w:type="dxa" w:w="1700"/>
            <w:tcMar>
              <w:top w:w="80" w:type="dxa"/>
              <w:start w:w="120" w:type="dxa"/>
              <w:bottom w:w="80" w:type="dxa"/>
              <w:end w:w="120" w:type="dxa"/>
            </w:tcMar>
            <w:vAlign w:val="center"/>
          </w:tcPr>
          <w:p>
            <w:pPr>
              <w:spacing w:after="0"/>
            </w:pPr>
            <w:r>
              <w:rPr>
                <w:rFonts w:ascii="Arial" w:hAnsi="Arial"/>
                <w:sz w:val="18"/>
              </w:rPr>
              <w:t>19.0%</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r>
        <w:tc>
          <w:tcPr>
            <w:tcW w:type="dxa" w:w="3100"/>
            <w:tcMar>
              <w:top w:w="80" w:type="dxa"/>
              <w:start w:w="120" w:type="dxa"/>
              <w:bottom w:w="80" w:type="dxa"/>
              <w:end w:w="120" w:type="dxa"/>
            </w:tcMar>
            <w:vAlign w:val="center"/>
          </w:tcPr>
          <w:p>
            <w:pPr>
              <w:spacing w:after="0"/>
            </w:pPr>
            <w:r>
              <w:rPr>
                <w:rFonts w:ascii="Arial" w:hAnsi="Arial"/>
                <w:sz w:val="18"/>
              </w:rPr>
              <w:t>Galaxies above 15%</w:t>
            </w:r>
          </w:p>
        </w:tc>
        <w:tc>
          <w:tcPr>
            <w:tcW w:type="dxa" w:w="1700"/>
            <w:tcMar>
              <w:top w:w="80" w:type="dxa"/>
              <w:start w:w="120" w:type="dxa"/>
              <w:bottom w:w="80" w:type="dxa"/>
              <w:end w:w="120" w:type="dxa"/>
            </w:tcMar>
            <w:vAlign w:val="center"/>
          </w:tcPr>
          <w:p>
            <w:pPr>
              <w:spacing w:after="0"/>
            </w:pPr>
            <w:r>
              <w:rPr>
                <w:rFonts w:ascii="Arial" w:hAnsi="Arial"/>
                <w:sz w:val="18"/>
              </w:rPr>
              <w:t>30</w:t>
            </w:r>
          </w:p>
        </w:tc>
        <w:tc>
          <w:tcPr>
            <w:tcW w:type="dxa" w:w="1700"/>
            <w:tcMar>
              <w:top w:w="80" w:type="dxa"/>
              <w:start w:w="120" w:type="dxa"/>
              <w:bottom w:w="80" w:type="dxa"/>
              <w:end w:w="120" w:type="dxa"/>
            </w:tcMar>
            <w:vAlign w:val="center"/>
          </w:tcPr>
          <w:p>
            <w:pPr>
              <w:spacing w:after="0"/>
            </w:pPr>
            <w:r>
              <w:rPr>
                <w:rFonts w:ascii="Arial" w:hAnsi="Arial"/>
                <w:sz w:val="18"/>
              </w:rPr>
              <w:t>1</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r>
        <w:tc>
          <w:tcPr>
            <w:tcW w:type="dxa" w:w="3100"/>
            <w:tcMar>
              <w:top w:w="80" w:type="dxa"/>
              <w:start w:w="120" w:type="dxa"/>
              <w:bottom w:w="80" w:type="dxa"/>
              <w:end w:w="120" w:type="dxa"/>
            </w:tcMar>
            <w:vAlign w:val="center"/>
          </w:tcPr>
          <w:p>
            <w:pPr>
              <w:spacing w:after="0"/>
            </w:pPr>
            <w:r>
              <w:rPr>
                <w:rFonts w:ascii="Arial" w:hAnsi="Arial"/>
                <w:sz w:val="18"/>
              </w:rPr>
              <w:t>Galaxies above 20%</w:t>
            </w:r>
          </w:p>
        </w:tc>
        <w:tc>
          <w:tcPr>
            <w:tcW w:type="dxa" w:w="1700"/>
            <w:tcMar>
              <w:top w:w="80" w:type="dxa"/>
              <w:start w:w="120" w:type="dxa"/>
              <w:bottom w:w="80" w:type="dxa"/>
              <w:end w:w="120" w:type="dxa"/>
            </w:tcMar>
            <w:vAlign w:val="center"/>
          </w:tcPr>
          <w:p>
            <w:pPr>
              <w:spacing w:after="0"/>
            </w:pPr>
            <w:r>
              <w:rPr>
                <w:rFonts w:ascii="Arial" w:hAnsi="Arial"/>
                <w:sz w:val="18"/>
              </w:rPr>
              <w:t>11</w:t>
            </w:r>
          </w:p>
        </w:tc>
        <w:tc>
          <w:tcPr>
            <w:tcW w:type="dxa" w:w="1700"/>
            <w:tcMar>
              <w:top w:w="80" w:type="dxa"/>
              <w:start w:w="120" w:type="dxa"/>
              <w:bottom w:w="80" w:type="dxa"/>
              <w:end w:w="120" w:type="dxa"/>
            </w:tcMar>
            <w:vAlign w:val="center"/>
          </w:tcPr>
          <w:p>
            <w:pPr>
              <w:spacing w:after="0"/>
            </w:pPr>
            <w:r>
              <w:rPr>
                <w:rFonts w:ascii="Arial" w:hAnsi="Arial"/>
                <w:sz w:val="18"/>
              </w:rPr>
              <w:t>0</w:t>
            </w:r>
          </w:p>
        </w:tc>
        <w:tc>
          <w:tcPr>
            <w:tcW w:type="dxa" w:w="2860"/>
            <w:tcMar>
              <w:top w:w="80" w:type="dxa"/>
              <w:start w:w="120" w:type="dxa"/>
              <w:bottom w:w="80" w:type="dxa"/>
              <w:end w:w="120" w:type="dxa"/>
            </w:tcMar>
            <w:vAlign w:val="center"/>
          </w:tcPr>
          <w:p>
            <w:pPr>
              <w:spacing w:after="0"/>
            </w:pPr>
            <w:r>
              <w:rPr>
                <w:rFonts w:ascii="Arial" w:hAnsi="Arial"/>
                <w:sz w:val="18"/>
              </w:rPr>
              <w:t>MTObjects</w:t>
            </w:r>
          </w:p>
        </w:tc>
      </w:tr>
    </w:tbl>
    <w:p>
      <w:pPr>
        <w:spacing w:after="40"/>
        <w:jc w:val="center"/>
      </w:pPr>
      <w:r>
        <w:drawing>
          <wp:inline xmlns:a="http://schemas.openxmlformats.org/drawingml/2006/main" xmlns:pic="http://schemas.openxmlformats.org/drawingml/2006/picture">
            <wp:extent cx="5897880" cy="2201995"/>
            <wp:docPr id="1" name="Picture 1"/>
            <wp:cNvGraphicFramePr>
              <a:graphicFrameLocks noChangeAspect="1"/>
            </wp:cNvGraphicFramePr>
            <a:graphic>
              <a:graphicData uri="http://schemas.openxmlformats.org/drawingml/2006/picture">
                <pic:pic>
                  <pic:nvPicPr>
                    <pic:cNvPr id="0" name="sep_mtobjects_comparison.png"/>
                    <pic:cNvPicPr/>
                  </pic:nvPicPr>
                  <pic:blipFill>
                    <a:blip r:embed="rId11"/>
                    <a:stretch>
                      <a:fillRect/>
                    </a:stretch>
                  </pic:blipFill>
                  <pic:spPr>
                    <a:xfrm>
                      <a:off x="0" y="0"/>
                      <a:ext cx="5897880" cy="2201995"/>
                    </a:xfrm>
                    <a:prstGeom prst="rect"/>
                  </pic:spPr>
                </pic:pic>
              </a:graphicData>
            </a:graphic>
          </wp:inline>
        </w:drawing>
      </w:r>
    </w:p>
    <w:p>
      <w:pPr>
        <w:spacing w:after="160"/>
        <w:jc w:val="center"/>
      </w:pPr>
      <w:r>
        <w:rPr>
          <w:i/>
          <w:color w:val="5A626C"/>
          <w:sz w:val="18"/>
        </w:rPr>
        <w:t>Figure 1. Shared recovery metrics and production masked-area distributions. The dashed line marks the proposed automatic review threshold.</w:t>
      </w:r>
    </w:p>
    <w:p>
      <w:r>
        <w:t>On paired production galaxies, MTObjects masked less area than SEP in 157 of 182 cases; SEP masked less in 25. SEP exceeded MTObjects by 2.84 percentage points on average and 1.81 points at the median. SEP's most extreme case was NGC1313 at 42.0%, compared with 19.0% for MTObjects.</w:t>
      </w:r>
    </w:p>
    <w:p>
      <w:pPr>
        <w:pStyle w:val="Heading1"/>
        <w:keepNext/>
      </w:pPr>
      <w:r>
        <w:t>5. Decision and operating recommendation</w:t>
      </w:r>
    </w:p>
    <w:p>
      <w:pPr>
        <w:pStyle w:val="Heading2"/>
        <w:keepNext/>
      </w:pPr>
      <w:r>
        <w:t>5.1 Recommended production workflow: gated ensemble</w:t>
      </w:r>
    </w:p>
    <w:p>
      <w:pPr>
        <w:pStyle w:val="Heading3"/>
      </w:pPr>
      <w:r>
        <w:t>Step 1: Run both methods</w:t>
      </w:r>
    </w:p>
    <w:p>
      <w:r>
        <w:t>Generate SEP and MTObjects component masks with the selected parameters and retain component labels rather than only the final binary union.</w:t>
      </w:r>
    </w:p>
    <w:p>
      <w:pPr>
        <w:pStyle w:val="Heading3"/>
      </w:pPr>
      <w:r>
        <w:t>Step 2: Accept agreement</w:t>
      </w:r>
    </w:p>
    <w:p>
      <w:r>
        <w:t>Automatically accept components substantially overlapping in the two methods. Agreement is a practical confidence signal and should reduce SEP-only galaxy-structure detections.</w:t>
      </w:r>
    </w:p>
    <w:p>
      <w:pPr>
        <w:pStyle w:val="Heading3"/>
      </w:pPr>
      <w:r>
        <w:t>Step 3: Screen SEP-only components</w:t>
      </w:r>
    </w:p>
    <w:p>
      <w:r>
        <w:t>Accept only when they satisfy size, elongation, central exclusion and bar-proximity rules. Prefer components with a PSF-like shape or an external catalogue match.</w:t>
      </w:r>
    </w:p>
    <w:p>
      <w:pPr>
        <w:pStyle w:val="Heading3"/>
      </w:pPr>
      <w:r>
        <w:t>Step 4: Enforce image-level gates</w:t>
      </w:r>
    </w:p>
    <w:p>
      <w:r>
        <w:t>If the candidate union masks more than 15%, if a single component dominates the mask, or if the processed bar-major profile changes beyond a defined tolerance, quarantine the image for review.</w:t>
      </w:r>
    </w:p>
    <w:p>
      <w:pPr>
        <w:pStyle w:val="Heading3"/>
      </w:pPr>
      <w:r>
        <w:t>Step 5: Use a conservative fallback</w:t>
      </w:r>
    </w:p>
    <w:p>
      <w:r>
        <w:t>For quarantined galaxies, use MTObjects alone or rerun SEP with reduced dilation, increased threshold and/or a tighter maximum-area limit. Never silently release a &gt;15% mask.</w:t>
      </w:r>
    </w:p>
    <w:p>
      <w:pPr>
        <w:pStyle w:val="Heading2"/>
        <w:keepNext/>
      </w:pPr>
      <w:r>
        <w:t>5.2 If only one algorithm can be used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60"/>
            </w:pPr>
            <w:r>
              <w:rPr>
                <w:b/>
                <w:color w:val="0B2545"/>
              </w:rPr>
              <w:t xml:space="preserve">Unattended scientific processing. </w:t>
            </w:r>
            <w:r>
              <w:t>Use MTObjects. Its lower masking tail is materially safer for preserving galaxy structure: one image exceeded 15%, compared with 30 for SEP.</w:t>
            </w:r>
          </w:p>
        </w:tc>
      </w:tr>
    </w:tbl>
    <w:p>
      <w:pPr>
        <w:spacing w:after="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CC"/>
          </w:tcPr>
          <w:p>
            <w:pPr>
              <w:spacing w:after="60"/>
            </w:pPr>
            <w:r>
              <w:rPr>
                <w:b/>
                <w:color w:val="0B2545"/>
              </w:rPr>
              <w:t xml:space="preserve">Recovery-first processing with human review. </w:t>
            </w:r>
            <w:r>
              <w:t>Use SEP. It achieved higher held-out toy recall and detection, but every &gt;15% image and every obvious bar/isophote disturbance must be reviewed or rerun.</w:t>
            </w:r>
          </w:p>
        </w:tc>
      </w:tr>
    </w:tbl>
    <w:p>
      <w:pPr>
        <w:spacing w:after="0"/>
      </w:pPr>
    </w:p>
    <w:p>
      <w:pPr>
        <w:pStyle w:val="Heading1"/>
        <w:keepNext/>
      </w:pPr>
      <w:r>
        <w:t>6. Recommended objective-function changes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center"/>
            <w:shd w:fill="E8EEF5"/>
          </w:tcPr>
          <w:p>
            <w:r>
              <w:rPr>
                <w:rFonts w:ascii="Arial" w:hAnsi="Arial"/>
                <w:b/>
                <w:sz w:val="18"/>
              </w:rPr>
              <w:t>Change</w:t>
            </w:r>
          </w:p>
        </w:tc>
        <w:tc>
          <w:tcPr>
            <w:tcW w:type="dxa" w:w="6860"/>
            <w:tcMar>
              <w:top w:w="80" w:type="dxa"/>
              <w:start w:w="120" w:type="dxa"/>
              <w:bottom w:w="80" w:type="dxa"/>
              <w:end w:w="120" w:type="dxa"/>
            </w:tcMar>
            <w:vAlign w:val="center"/>
            <w:shd w:fill="E8EEF5"/>
          </w:tcPr>
          <w:p>
            <w:r>
              <w:rPr>
                <w:rFonts w:ascii="Arial" w:hAnsi="Arial"/>
                <w:b/>
                <w:sz w:val="18"/>
              </w:rPr>
              <w:t>Recommended implementation</w:t>
            </w:r>
          </w:p>
        </w:tc>
      </w:tr>
      <w:tr>
        <w:tc>
          <w:tcPr>
            <w:tcW w:type="dxa" w:w="2500"/>
            <w:tcMar>
              <w:top w:w="80" w:type="dxa"/>
              <w:start w:w="120" w:type="dxa"/>
              <w:bottom w:w="80" w:type="dxa"/>
              <w:end w:w="120" w:type="dxa"/>
            </w:tcMar>
            <w:vAlign w:val="center"/>
          </w:tcPr>
          <w:p>
            <w:pPr>
              <w:spacing w:after="0"/>
            </w:pPr>
            <w:r>
              <w:rPr>
                <w:rFonts w:ascii="Arial" w:hAnsi="Arial"/>
                <w:sz w:val="18"/>
              </w:rPr>
              <w:t>Hard feasibility constraints</w:t>
            </w:r>
          </w:p>
        </w:tc>
        <w:tc>
          <w:tcPr>
            <w:tcW w:type="dxa" w:w="6860"/>
            <w:tcMar>
              <w:top w:w="80" w:type="dxa"/>
              <w:start w:w="120" w:type="dxa"/>
              <w:bottom w:w="80" w:type="dxa"/>
              <w:end w:w="120" w:type="dxa"/>
            </w:tcMar>
            <w:vAlign w:val="center"/>
          </w:tcPr>
          <w:p>
            <w:pPr>
              <w:spacing w:after="0"/>
            </w:pPr>
            <w:r>
              <w:rPr>
                <w:rFonts w:ascii="Arial" w:hAnsi="Arial"/>
                <w:sz w:val="18"/>
              </w:rPr>
              <w:t>Reject a trial if any calibration image exceeds 15%, if toy detection falls below a minimum, or if bar-profile damage exceeds tolerance. Do not rely only on a soft mean penalty.</w:t>
            </w:r>
          </w:p>
        </w:tc>
      </w:tr>
      <w:tr>
        <w:tc>
          <w:tcPr>
            <w:tcW w:type="dxa" w:w="2500"/>
            <w:tcMar>
              <w:top w:w="80" w:type="dxa"/>
              <w:start w:w="120" w:type="dxa"/>
              <w:bottom w:w="80" w:type="dxa"/>
              <w:end w:w="120" w:type="dxa"/>
            </w:tcMar>
            <w:vAlign w:val="center"/>
          </w:tcPr>
          <w:p>
            <w:pPr>
              <w:spacing w:after="0"/>
            </w:pPr>
            <w:r>
              <w:rPr>
                <w:rFonts w:ascii="Arial" w:hAnsi="Arial"/>
                <w:sz w:val="18"/>
              </w:rPr>
              <w:t>Worst-case or CVaR loss</w:t>
            </w:r>
          </w:p>
        </w:tc>
        <w:tc>
          <w:tcPr>
            <w:tcW w:type="dxa" w:w="6860"/>
            <w:tcMar>
              <w:top w:w="80" w:type="dxa"/>
              <w:start w:w="120" w:type="dxa"/>
              <w:bottom w:w="80" w:type="dxa"/>
              <w:end w:w="120" w:type="dxa"/>
            </w:tcMar>
            <w:vAlign w:val="center"/>
          </w:tcPr>
          <w:p>
            <w:pPr>
              <w:spacing w:after="0"/>
            </w:pPr>
            <w:r>
              <w:rPr>
                <w:rFonts w:ascii="Arial" w:hAnsi="Arial"/>
                <w:sz w:val="18"/>
              </w:rPr>
              <w:t>Penalise the worst 10% of galaxies, or the mean of that tail, so an apparently good average cannot hide 25-42% masking outliers.</w:t>
            </w:r>
          </w:p>
        </w:tc>
      </w:tr>
      <w:tr>
        <w:tc>
          <w:tcPr>
            <w:tcW w:type="dxa" w:w="2500"/>
            <w:tcMar>
              <w:top w:w="80" w:type="dxa"/>
              <w:start w:w="120" w:type="dxa"/>
              <w:bottom w:w="80" w:type="dxa"/>
              <w:end w:w="120" w:type="dxa"/>
            </w:tcMar>
            <w:vAlign w:val="center"/>
          </w:tcPr>
          <w:p>
            <w:pPr>
              <w:spacing w:after="0"/>
            </w:pPr>
            <w:r>
              <w:rPr>
                <w:rFonts w:ascii="Arial" w:hAnsi="Arial"/>
                <w:sz w:val="18"/>
              </w:rPr>
              <w:t>Component-level recovery</w:t>
            </w:r>
          </w:p>
        </w:tc>
        <w:tc>
          <w:tcPr>
            <w:tcW w:type="dxa" w:w="6860"/>
            <w:tcMar>
              <w:top w:w="80" w:type="dxa"/>
              <w:start w:w="120" w:type="dxa"/>
              <w:bottom w:w="80" w:type="dxa"/>
              <w:end w:w="120" w:type="dxa"/>
            </w:tcMar>
            <w:vAlign w:val="center"/>
          </w:tcPr>
          <w:p>
            <w:pPr>
              <w:spacing w:after="0"/>
            </w:pPr>
            <w:r>
              <w:rPr>
                <w:rFonts w:ascii="Arial" w:hAnsi="Arial"/>
                <w:sz w:val="18"/>
              </w:rPr>
              <w:t>Reward the fraction of toys with a minimum overlap and use per-toy recall. Penalise false components and false component area separately, rather than allowing large real-source masks to dominate pixel precision.</w:t>
            </w:r>
          </w:p>
        </w:tc>
      </w:tr>
      <w:tr>
        <w:tc>
          <w:tcPr>
            <w:tcW w:type="dxa" w:w="2500"/>
            <w:tcMar>
              <w:top w:w="80" w:type="dxa"/>
              <w:start w:w="120" w:type="dxa"/>
              <w:bottom w:w="80" w:type="dxa"/>
              <w:end w:w="120" w:type="dxa"/>
            </w:tcMar>
            <w:vAlign w:val="center"/>
          </w:tcPr>
          <w:p>
            <w:pPr>
              <w:spacing w:after="0"/>
            </w:pPr>
            <w:r>
              <w:rPr>
                <w:rFonts w:ascii="Arial" w:hAnsi="Arial"/>
                <w:sz w:val="18"/>
              </w:rPr>
              <w:t>Profile-preservation term</w:t>
            </w:r>
          </w:p>
        </w:tc>
        <w:tc>
          <w:tcPr>
            <w:tcW w:type="dxa" w:w="6860"/>
            <w:tcMar>
              <w:top w:w="80" w:type="dxa"/>
              <w:start w:w="120" w:type="dxa"/>
              <w:bottom w:w="80" w:type="dxa"/>
              <w:end w:w="120" w:type="dxa"/>
            </w:tcMar>
            <w:vAlign w:val="center"/>
          </w:tcPr>
          <w:p>
            <w:pPr>
              <w:spacing w:after="0"/>
            </w:pPr>
            <w:r>
              <w:rPr>
                <w:rFonts w:ascii="Arial" w:hAnsi="Arial"/>
                <w:sz w:val="18"/>
              </w:rPr>
              <w:t>Add robust differences in the bar-major profile, isophote ellipticity/position angle and central surface-brightness gradient. Weight damage near the bar more strongly than damage far outside it.</w:t>
            </w:r>
          </w:p>
        </w:tc>
      </w:tr>
      <w:tr>
        <w:tc>
          <w:tcPr>
            <w:tcW w:type="dxa" w:w="2500"/>
            <w:tcMar>
              <w:top w:w="80" w:type="dxa"/>
              <w:start w:w="120" w:type="dxa"/>
              <w:bottom w:w="80" w:type="dxa"/>
              <w:end w:w="120" w:type="dxa"/>
            </w:tcMar>
            <w:vAlign w:val="center"/>
          </w:tcPr>
          <w:p>
            <w:pPr>
              <w:spacing w:after="0"/>
            </w:pPr>
            <w:r>
              <w:rPr>
                <w:rFonts w:ascii="Arial" w:hAnsi="Arial"/>
                <w:sz w:val="18"/>
              </w:rPr>
              <w:t>Multi-objective optimisation</w:t>
            </w:r>
          </w:p>
        </w:tc>
        <w:tc>
          <w:tcPr>
            <w:tcW w:type="dxa" w:w="6860"/>
            <w:tcMar>
              <w:top w:w="80" w:type="dxa"/>
              <w:start w:w="120" w:type="dxa"/>
              <w:bottom w:w="80" w:type="dxa"/>
              <w:end w:w="120" w:type="dxa"/>
            </w:tcMar>
            <w:vAlign w:val="center"/>
          </w:tcPr>
          <w:p>
            <w:pPr>
              <w:spacing w:after="0"/>
            </w:pPr>
            <w:r>
              <w:rPr>
                <w:rFonts w:ascii="Arial" w:hAnsi="Arial"/>
                <w:sz w:val="18"/>
              </w:rPr>
              <w:t>Optimise toy recovery, false-mask area and profile distortion as separate objectives and select from the Pareto front. This makes the scientific trade-off visible rather than hiding it in one arbitrary scalar.</w:t>
            </w:r>
          </w:p>
        </w:tc>
      </w:tr>
      <w:tr>
        <w:tc>
          <w:tcPr>
            <w:tcW w:type="dxa" w:w="2500"/>
            <w:tcMar>
              <w:top w:w="80" w:type="dxa"/>
              <w:start w:w="120" w:type="dxa"/>
              <w:bottom w:w="80" w:type="dxa"/>
              <w:end w:w="120" w:type="dxa"/>
            </w:tcMar>
            <w:vAlign w:val="center"/>
          </w:tcPr>
          <w:p>
            <w:pPr>
              <w:spacing w:after="0"/>
            </w:pPr>
            <w:r>
              <w:rPr>
                <w:rFonts w:ascii="Arial" w:hAnsi="Arial"/>
                <w:sz w:val="18"/>
              </w:rPr>
              <w:t>Repeated injection seeds</w:t>
            </w:r>
          </w:p>
        </w:tc>
        <w:tc>
          <w:tcPr>
            <w:tcW w:type="dxa" w:w="6860"/>
            <w:tcMar>
              <w:top w:w="80" w:type="dxa"/>
              <w:start w:w="120" w:type="dxa"/>
              <w:bottom w:w="80" w:type="dxa"/>
              <w:end w:w="120" w:type="dxa"/>
            </w:tcMar>
            <w:vAlign w:val="center"/>
          </w:tcPr>
          <w:p>
            <w:pPr>
              <w:spacing w:after="0"/>
            </w:pPr>
            <w:r>
              <w:rPr>
                <w:rFonts w:ascii="Arial" w:hAnsi="Arial"/>
                <w:sz w:val="18"/>
              </w:rPr>
              <w:t>Repeat each fold with several toy seeds and optimise the median plus a lower-tail recovery statistic. Current SEP and MTObjects comparisons use different evaluation seeds.</w:t>
            </w:r>
          </w:p>
        </w:tc>
      </w:tr>
      <w:tr>
        <w:tc>
          <w:tcPr>
            <w:tcW w:type="dxa" w:w="2500"/>
            <w:tcMar>
              <w:top w:w="80" w:type="dxa"/>
              <w:start w:w="120" w:type="dxa"/>
              <w:bottom w:w="80" w:type="dxa"/>
              <w:end w:w="120" w:type="dxa"/>
            </w:tcMar>
            <w:vAlign w:val="center"/>
          </w:tcPr>
          <w:p>
            <w:pPr>
              <w:spacing w:after="0"/>
            </w:pPr>
            <w:r>
              <w:rPr>
                <w:rFonts w:ascii="Arial" w:hAnsi="Arial"/>
                <w:sz w:val="18"/>
              </w:rPr>
              <w:t>Real-foreground validation</w:t>
            </w:r>
          </w:p>
        </w:tc>
        <w:tc>
          <w:tcPr>
            <w:tcW w:type="dxa" w:w="6860"/>
            <w:tcMar>
              <w:top w:w="80" w:type="dxa"/>
              <w:start w:w="120" w:type="dxa"/>
              <w:bottom w:w="80" w:type="dxa"/>
              <w:end w:w="120" w:type="dxa"/>
            </w:tcMar>
            <w:vAlign w:val="center"/>
          </w:tcPr>
          <w:p>
            <w:pPr>
              <w:spacing w:after="0"/>
            </w:pPr>
            <w:r>
              <w:rPr>
                <w:rFonts w:ascii="Arial" w:hAnsi="Arial"/>
                <w:sz w:val="18"/>
              </w:rPr>
              <w:t>Add a small manually annotated set of genuine stars and background galaxies. Injected toys are controlled but cannot fully represent PSF wings, diffraction features or complex background galaxies.</w:t>
            </w:r>
          </w:p>
        </w:tc>
      </w:tr>
    </w:tbl>
    <w:p>
      <w:pPr>
        <w:pStyle w:val="Heading1"/>
        <w:keepNext/>
      </w:pPr>
      <w:r>
        <w:t>7. Alternative masking approaches</w:t>
      </w:r>
    </w:p>
    <w:p>
      <w:pPr>
        <w:pStyle w:val="Heading2"/>
        <w:keepNext/>
      </w:pPr>
      <w:r>
        <w:t>7.1 Catalogue- and PSF-assisted masks</w:t>
      </w:r>
    </w:p>
    <w:p>
      <w:r>
        <w:t>For point sources, use astrometric catalogue matches (for example Gaia) and empirical PSF growth curves to define masks that expand with brightness. This can reduce confusion between compact galaxy structure and foreground stars. It should be combined with image detection for uncatalogued or extended contaminants.</w:t>
      </w:r>
    </w:p>
    <w:p>
      <w:pPr>
        <w:pStyle w:val="Heading2"/>
        <w:keepNext/>
      </w:pPr>
      <w:r>
        <w:t>7.2 Photutils segmentation</w:t>
      </w:r>
    </w:p>
    <w:p>
      <w:r>
        <w:t>Photutils SourceFinder offers threshold detection plus multi-threshold watershed deblending, with explicit minimum-pixel, level and contrast controls. It is a useful independent implementation for an ensemble or a third benchmark, but it still needs the same toy-recovery and galaxy-damage objective.</w:t>
      </w:r>
    </w:p>
    <w:p>
      <w:pPr>
        <w:pStyle w:val="Heading2"/>
        <w:keepNext/>
      </w:pPr>
      <w:r>
        <w:t>7.3 NoiseChisel and Segment</w:t>
      </w:r>
    </w:p>
    <w:p>
      <w:r>
        <w:t>GNU Astronomy Utilities provides a noise-based detection paradigm and a separate segmentation stage designed for diffuse astronomical signal. It is worth benchmarking where background estimation or low-surface-brightness wings defeat fixed thresholds. For this project it must be configured to protect the target galaxy, because its strength at finding diffuse signal can otherwise work against foreground-only masking.</w:t>
      </w:r>
    </w:p>
    <w:p>
      <w:pPr>
        <w:pStyle w:val="Heading2"/>
        <w:keepNext/>
      </w:pPr>
      <w:r>
        <w:t>7.4 Learned instance segmentation</w:t>
      </w:r>
    </w:p>
    <w:p>
      <w:r>
        <w:t>Mask R-CNN and related instance-segmentation methods can jointly detect, classify and deblend sources. They are a longer-term option if sufficient labelled or realistic simulated training data can be assembled. They should not replace the current methods until tested on an external galaxy set and calibrated for uncertainty and profile preservation.</w:t>
      </w:r>
    </w:p>
    <w:p>
      <w:pPr>
        <w:pStyle w:val="Heading1"/>
        <w:keepNext/>
      </w:pPr>
      <w:r>
        <w:t>8. Immediate next actions</w:t>
      </w:r>
    </w:p>
    <w:tbl>
      <w:tblPr>
        <w:tblStyle w:val="TableGrid"/>
        <w:tblW w:type="dxa" w:w="9360"/>
        <w:jc w:val="left"/>
        <w:tblLayout w:type="fixed"/>
        <w:tblLook w:firstColumn="1" w:firstRow="1" w:lastColumn="0" w:lastRow="0" w:noHBand="0" w:noVBand="1" w:val="04A0"/>
        <w:tblInd w:w="120" w:type="dxa"/>
      </w:tblPr>
      <w:tblGrid>
        <w:gridCol w:w="900"/>
        <w:gridCol w:w="2450"/>
        <w:gridCol w:w="6010"/>
      </w:tblGrid>
      <w:tr>
        <w:trPr>
          <w:tblHeader w:val="true"/>
        </w:trPr>
        <w:tc>
          <w:tcPr>
            <w:tcW w:type="dxa" w:w="900"/>
            <w:tcMar>
              <w:top w:w="80" w:type="dxa"/>
              <w:start w:w="120" w:type="dxa"/>
              <w:bottom w:w="80" w:type="dxa"/>
              <w:end w:w="120" w:type="dxa"/>
            </w:tcMar>
            <w:vAlign w:val="center"/>
            <w:shd w:fill="E8EEF5"/>
          </w:tcPr>
          <w:p>
            <w:r>
              <w:rPr>
                <w:rFonts w:ascii="Arial" w:hAnsi="Arial"/>
                <w:b/>
                <w:sz w:val="18"/>
              </w:rPr>
              <w:t>Priority</w:t>
            </w:r>
          </w:p>
        </w:tc>
        <w:tc>
          <w:tcPr>
            <w:tcW w:type="dxa" w:w="2450"/>
            <w:tcMar>
              <w:top w:w="80" w:type="dxa"/>
              <w:start w:w="120" w:type="dxa"/>
              <w:bottom w:w="80" w:type="dxa"/>
              <w:end w:w="120" w:type="dxa"/>
            </w:tcMar>
            <w:vAlign w:val="center"/>
            <w:shd w:fill="E8EEF5"/>
          </w:tcPr>
          <w:p>
            <w:r>
              <w:rPr>
                <w:rFonts w:ascii="Arial" w:hAnsi="Arial"/>
                <w:b/>
                <w:sz w:val="18"/>
              </w:rPr>
              <w:t>Action</w:t>
            </w:r>
          </w:p>
        </w:tc>
        <w:tc>
          <w:tcPr>
            <w:tcW w:type="dxa" w:w="6010"/>
            <w:tcMar>
              <w:top w:w="80" w:type="dxa"/>
              <w:start w:w="120" w:type="dxa"/>
              <w:bottom w:w="80" w:type="dxa"/>
              <w:end w:w="120" w:type="dxa"/>
            </w:tcMar>
            <w:vAlign w:val="center"/>
            <w:shd w:fill="E8EEF5"/>
          </w:tcPr>
          <w:p>
            <w:r>
              <w:rPr>
                <w:rFonts w:ascii="Arial" w:hAnsi="Arial"/>
                <w:b/>
                <w:sz w:val="18"/>
              </w:rPr>
              <w:t>Acceptance criterion</w:t>
            </w:r>
          </w:p>
        </w:tc>
      </w:tr>
      <w:tr>
        <w:tc>
          <w:tcPr>
            <w:tcW w:type="dxa" w:w="900"/>
            <w:tcMar>
              <w:top w:w="80" w:type="dxa"/>
              <w:start w:w="120" w:type="dxa"/>
              <w:bottom w:w="80" w:type="dxa"/>
              <w:end w:w="120" w:type="dxa"/>
            </w:tcMar>
            <w:vAlign w:val="center"/>
          </w:tcPr>
          <w:p>
            <w:pPr>
              <w:spacing w:after="0"/>
            </w:pPr>
            <w:r>
              <w:rPr>
                <w:rFonts w:ascii="Arial" w:hAnsi="Arial"/>
                <w:sz w:val="18"/>
              </w:rPr>
              <w:t>1</w:t>
            </w:r>
          </w:p>
        </w:tc>
        <w:tc>
          <w:tcPr>
            <w:tcW w:type="dxa" w:w="2450"/>
            <w:tcMar>
              <w:top w:w="80" w:type="dxa"/>
              <w:start w:w="120" w:type="dxa"/>
              <w:bottom w:w="80" w:type="dxa"/>
              <w:end w:w="120" w:type="dxa"/>
            </w:tcMar>
            <w:vAlign w:val="center"/>
          </w:tcPr>
          <w:p>
            <w:pPr>
              <w:spacing w:after="0"/>
            </w:pPr>
            <w:r>
              <w:rPr>
                <w:rFonts w:ascii="Arial" w:hAnsi="Arial"/>
                <w:sz w:val="18"/>
              </w:rPr>
              <w:t>Review SEP high-mask set</w:t>
            </w:r>
          </w:p>
        </w:tc>
        <w:tc>
          <w:tcPr>
            <w:tcW w:type="dxa" w:w="6010"/>
            <w:tcMar>
              <w:top w:w="80" w:type="dxa"/>
              <w:start w:w="120" w:type="dxa"/>
              <w:bottom w:w="80" w:type="dxa"/>
              <w:end w:w="120" w:type="dxa"/>
            </w:tcMar>
            <w:vAlign w:val="center"/>
          </w:tcPr>
          <w:p>
            <w:pPr>
              <w:spacing w:after="0"/>
            </w:pPr>
            <w:r>
              <w:rPr>
                <w:rFonts w:ascii="Arial" w:hAnsi="Arial"/>
                <w:sz w:val="18"/>
              </w:rPr>
              <w:t>Inspect the 30 SEP reports above 15%, beginning with NGC1313, NGC1808, NGC4214, NGC3319 and NGC5236.</w:t>
            </w:r>
          </w:p>
        </w:tc>
      </w:tr>
      <w:tr>
        <w:tc>
          <w:tcPr>
            <w:tcW w:type="dxa" w:w="900"/>
            <w:tcMar>
              <w:top w:w="80" w:type="dxa"/>
              <w:start w:w="120" w:type="dxa"/>
              <w:bottom w:w="80" w:type="dxa"/>
              <w:end w:w="120" w:type="dxa"/>
            </w:tcMar>
            <w:vAlign w:val="center"/>
          </w:tcPr>
          <w:p>
            <w:pPr>
              <w:spacing w:after="0"/>
            </w:pPr>
            <w:r>
              <w:rPr>
                <w:rFonts w:ascii="Arial" w:hAnsi="Arial"/>
                <w:sz w:val="18"/>
              </w:rPr>
              <w:t>2</w:t>
            </w:r>
          </w:p>
        </w:tc>
        <w:tc>
          <w:tcPr>
            <w:tcW w:type="dxa" w:w="2450"/>
            <w:tcMar>
              <w:top w:w="80" w:type="dxa"/>
              <w:start w:w="120" w:type="dxa"/>
              <w:bottom w:w="80" w:type="dxa"/>
              <w:end w:w="120" w:type="dxa"/>
            </w:tcMar>
            <w:vAlign w:val="center"/>
          </w:tcPr>
          <w:p>
            <w:pPr>
              <w:spacing w:after="0"/>
            </w:pPr>
            <w:r>
              <w:rPr>
                <w:rFonts w:ascii="Arial" w:hAnsi="Arial"/>
                <w:sz w:val="18"/>
              </w:rPr>
              <w:t>Build component-level ensemble</w:t>
            </w:r>
          </w:p>
        </w:tc>
        <w:tc>
          <w:tcPr>
            <w:tcW w:type="dxa" w:w="6010"/>
            <w:tcMar>
              <w:top w:w="80" w:type="dxa"/>
              <w:start w:w="120" w:type="dxa"/>
              <w:bottom w:w="80" w:type="dxa"/>
              <w:end w:w="120" w:type="dxa"/>
            </w:tcMar>
            <w:vAlign w:val="center"/>
          </w:tcPr>
          <w:p>
            <w:pPr>
              <w:spacing w:after="0"/>
            </w:pPr>
            <w:r>
              <w:rPr>
                <w:rFonts w:ascii="Arial" w:hAnsi="Arial"/>
                <w:sz w:val="18"/>
              </w:rPr>
              <w:t>Save SEP and MTObjects labelled components, compute overlap and apply agreement/SEP-only decision rules.</w:t>
            </w:r>
          </w:p>
        </w:tc>
      </w:tr>
      <w:tr>
        <w:tc>
          <w:tcPr>
            <w:tcW w:type="dxa" w:w="900"/>
            <w:tcMar>
              <w:top w:w="80" w:type="dxa"/>
              <w:start w:w="120" w:type="dxa"/>
              <w:bottom w:w="80" w:type="dxa"/>
              <w:end w:w="120" w:type="dxa"/>
            </w:tcMar>
            <w:vAlign w:val="center"/>
          </w:tcPr>
          <w:p>
            <w:pPr>
              <w:spacing w:after="0"/>
            </w:pPr>
            <w:r>
              <w:rPr>
                <w:rFonts w:ascii="Arial" w:hAnsi="Arial"/>
                <w:sz w:val="18"/>
              </w:rPr>
              <w:t>3</w:t>
            </w:r>
          </w:p>
        </w:tc>
        <w:tc>
          <w:tcPr>
            <w:tcW w:type="dxa" w:w="2450"/>
            <w:tcMar>
              <w:top w:w="80" w:type="dxa"/>
              <w:start w:w="120" w:type="dxa"/>
              <w:bottom w:w="80" w:type="dxa"/>
              <w:end w:w="120" w:type="dxa"/>
            </w:tcMar>
            <w:vAlign w:val="center"/>
          </w:tcPr>
          <w:p>
            <w:pPr>
              <w:spacing w:after="0"/>
            </w:pPr>
            <w:r>
              <w:rPr>
                <w:rFonts w:ascii="Arial" w:hAnsi="Arial"/>
                <w:sz w:val="18"/>
              </w:rPr>
              <w:t>Add release gates</w:t>
            </w:r>
          </w:p>
        </w:tc>
        <w:tc>
          <w:tcPr>
            <w:tcW w:type="dxa" w:w="6010"/>
            <w:tcMar>
              <w:top w:w="80" w:type="dxa"/>
              <w:start w:w="120" w:type="dxa"/>
              <w:bottom w:w="80" w:type="dxa"/>
              <w:end w:w="120" w:type="dxa"/>
            </w:tcMar>
            <w:vAlign w:val="center"/>
          </w:tcPr>
          <w:p>
            <w:pPr>
              <w:spacing w:after="0"/>
            </w:pPr>
            <w:r>
              <w:rPr>
                <w:rFonts w:ascii="Arial" w:hAnsi="Arial"/>
                <w:sz w:val="18"/>
              </w:rPr>
              <w:t>Fail or quarantine outputs above 15% masked area or above a bar-profile/isophote damage tolerance.</w:t>
            </w:r>
          </w:p>
        </w:tc>
      </w:tr>
      <w:tr>
        <w:tc>
          <w:tcPr>
            <w:tcW w:type="dxa" w:w="900"/>
            <w:tcMar>
              <w:top w:w="80" w:type="dxa"/>
              <w:start w:w="120" w:type="dxa"/>
              <w:bottom w:w="80" w:type="dxa"/>
              <w:end w:w="120" w:type="dxa"/>
            </w:tcMar>
            <w:vAlign w:val="center"/>
          </w:tcPr>
          <w:p>
            <w:pPr>
              <w:spacing w:after="0"/>
            </w:pPr>
            <w:r>
              <w:rPr>
                <w:rFonts w:ascii="Arial" w:hAnsi="Arial"/>
                <w:sz w:val="18"/>
              </w:rPr>
              <w:t>4</w:t>
            </w:r>
          </w:p>
        </w:tc>
        <w:tc>
          <w:tcPr>
            <w:tcW w:type="dxa" w:w="2450"/>
            <w:tcMar>
              <w:top w:w="80" w:type="dxa"/>
              <w:start w:w="120" w:type="dxa"/>
              <w:bottom w:w="80" w:type="dxa"/>
              <w:end w:w="120" w:type="dxa"/>
            </w:tcMar>
            <w:vAlign w:val="center"/>
          </w:tcPr>
          <w:p>
            <w:pPr>
              <w:spacing w:after="0"/>
            </w:pPr>
            <w:r>
              <w:rPr>
                <w:rFonts w:ascii="Arial" w:hAnsi="Arial"/>
                <w:sz w:val="18"/>
              </w:rPr>
              <w:t>Re-optimise robustly</w:t>
            </w:r>
          </w:p>
        </w:tc>
        <w:tc>
          <w:tcPr>
            <w:tcW w:type="dxa" w:w="6010"/>
            <w:tcMar>
              <w:top w:w="80" w:type="dxa"/>
              <w:start w:w="120" w:type="dxa"/>
              <w:bottom w:w="80" w:type="dxa"/>
              <w:end w:w="120" w:type="dxa"/>
            </w:tcMar>
            <w:vAlign w:val="center"/>
          </w:tcPr>
          <w:p>
            <w:pPr>
              <w:spacing w:after="0"/>
            </w:pPr>
            <w:r>
              <w:rPr>
                <w:rFonts w:ascii="Arial" w:hAnsi="Arial"/>
                <w:sz w:val="18"/>
              </w:rPr>
              <w:t>Use hard constraints, tail-risk loss, repeated toy seeds and a manually annotated real-contaminant validation set.</w:t>
            </w:r>
          </w:p>
        </w:tc>
      </w:tr>
      <w:tr>
        <w:tc>
          <w:tcPr>
            <w:tcW w:type="dxa" w:w="900"/>
            <w:tcMar>
              <w:top w:w="80" w:type="dxa"/>
              <w:start w:w="120" w:type="dxa"/>
              <w:bottom w:w="80" w:type="dxa"/>
              <w:end w:w="120" w:type="dxa"/>
            </w:tcMar>
            <w:vAlign w:val="center"/>
          </w:tcPr>
          <w:p>
            <w:pPr>
              <w:spacing w:after="0"/>
            </w:pPr>
            <w:r>
              <w:rPr>
                <w:rFonts w:ascii="Arial" w:hAnsi="Arial"/>
                <w:sz w:val="18"/>
              </w:rPr>
              <w:t>5</w:t>
            </w:r>
          </w:p>
        </w:tc>
        <w:tc>
          <w:tcPr>
            <w:tcW w:type="dxa" w:w="2450"/>
            <w:tcMar>
              <w:top w:w="80" w:type="dxa"/>
              <w:start w:w="120" w:type="dxa"/>
              <w:bottom w:w="80" w:type="dxa"/>
              <w:end w:w="120" w:type="dxa"/>
            </w:tcMar>
            <w:vAlign w:val="center"/>
          </w:tcPr>
          <w:p>
            <w:pPr>
              <w:spacing w:after="0"/>
            </w:pPr>
            <w:r>
              <w:rPr>
                <w:rFonts w:ascii="Arial" w:hAnsi="Arial"/>
                <w:sz w:val="18"/>
              </w:rPr>
              <w:t>Benchmark one independent method</w:t>
            </w:r>
          </w:p>
        </w:tc>
        <w:tc>
          <w:tcPr>
            <w:tcW w:type="dxa" w:w="6010"/>
            <w:tcMar>
              <w:top w:w="80" w:type="dxa"/>
              <w:start w:w="120" w:type="dxa"/>
              <w:bottom w:w="80" w:type="dxa"/>
              <w:end w:w="120" w:type="dxa"/>
            </w:tcMar>
            <w:vAlign w:val="center"/>
          </w:tcPr>
          <w:p>
            <w:pPr>
              <w:spacing w:after="0"/>
            </w:pPr>
            <w:r>
              <w:rPr>
                <w:rFonts w:ascii="Arial" w:hAnsi="Arial"/>
                <w:sz w:val="18"/>
              </w:rPr>
              <w:t>Start with Photutils for implementation comparability; test NoiseChisel if diffuse-wing/background failures remain important.</w:t>
            </w:r>
          </w:p>
        </w:tc>
      </w:tr>
    </w:tbl>
    <w:p>
      <w:pPr>
        <w:pStyle w:val="Heading1"/>
        <w:keepNext/>
      </w:pPr>
      <w:r>
        <w:t>9. Sources and audit trail</w:t>
      </w:r>
    </w:p>
    <w:p>
      <w:pPr>
        <w:pStyle w:val="ListNumber"/>
      </w:pPr>
      <w:r>
        <w:t>Project SEP results: D:\Dropbox\Public Documents\UCLAN\MSc Research\Remove foreground objects\sep toy cross validation\20260816_185737</w:t>
      </w:r>
    </w:p>
    <w:p>
      <w:pPr>
        <w:pStyle w:val="ListNumber"/>
      </w:pPr>
      <w:r>
        <w:t>Project SEP production summary: D:\Dropbox\Public Documents\UCLAN\MSc Research\Remove foreground objects\SEP all galaxy batch\sep_toy_cv_20260816_185737\sep_optimised_apply_summary.csv</w:t>
      </w:r>
    </w:p>
    <w:p>
      <w:pPr>
        <w:pStyle w:val="ListNumber"/>
      </w:pPr>
      <w:r>
        <w:t>Project MTObjects results: D:\Dropbox\Public Documents\UCLAN\MSc Research\Remove foreground objects\mtobjects toy recovery followup\20260816_063455</w:t>
      </w:r>
    </w:p>
    <w:p>
      <w:pPr>
        <w:pStyle w:val="ListNumber"/>
      </w:pPr>
      <w:r>
        <w:t>Project MTObjects production summary: D:\Dropbox\Public Documents\UCLAN\MSc Research\Remove foreground objects\mtobjects all galaxy batch\mtobjects_toy_recovery_20260816_063455_eight_panel_aligned\mtobjects_optimised_apply_summary.csv</w:t>
      </w:r>
    </w:p>
    <w:p>
      <w:pPr>
        <w:pStyle w:val="ListNumber"/>
      </w:pPr>
      <w:r>
        <w:t>Holwerda, Guide to Source Extractor: D:\Dropbox\Public Documents\UCLAN\MSc Research\SourceExtractor\Guide2source_extractor.pdf</w:t>
      </w:r>
    </w:p>
    <w:p>
      <w:pPr>
        <w:pStyle w:val="ListNumber"/>
      </w:pPr>
      <w:r>
        <w:t>SEP extract API documentation: https://sep.readthedocs.io/en/latest/api/sep.extract.html</w:t>
      </w:r>
    </w:p>
    <w:p>
      <w:pPr>
        <w:pStyle w:val="ListNumber"/>
      </w:pPr>
      <w:r>
        <w:t>Photutils SourceFinder documentation: https://photutils.readthedocs.io/en/stable/api/photutils.segmentation.SourceFinder.html</w:t>
      </w:r>
    </w:p>
    <w:p>
      <w:pPr>
        <w:pStyle w:val="ListNumber"/>
      </w:pPr>
      <w:r>
        <w:t>GNU Astronomy Utilities NoiseChisel documentation: https://www.gnu.org/software/gnuastro/manual/html_node/NoiseChisel.html</w:t>
      </w:r>
    </w:p>
    <w:p>
      <w:pPr>
        <w:pStyle w:val="ListNumber"/>
      </w:pPr>
      <w:r>
        <w:t>Burke et al. (2019), Deblending and Classifying Astronomical Sources with Mask R-CNN: https://doi.org/10.1093/mnras/stz2845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26C"/>
        <w:sz w:val="17"/>
      </w:rPr>
      <w:t>MSc Research - Toy Objects optimisation | 16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5A626C"/>
        <w:sz w:val="17"/>
      </w:rPr>
      <w:t>Foreground masking decision memo | SEP versus MTObjects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 and MTObjects Masking Comparison and Recommendations</dc:title>
  <dc:subject>Four-fold toy-object optimisation and 182-galaxy production comparison</dc:subject>
  <dc:creator>MSc Research foreground masking project</dc:creator>
  <cp:keywords>SEP, MTObjects, foreground masking, toy objects, cross-validation</cp:keywords>
  <dc:description>generated by python-docx</dc:description>
  <cp:lastModifiedBy/>
  <cp:revision>1</cp:revision>
  <dcterms:created xsi:type="dcterms:W3CDTF">2013-12-23T23:15:00Z</dcterms:created>
  <dcterms:modified xsi:type="dcterms:W3CDTF">2013-12-23T23:15:00Z</dcterms:modified>
  <cp:category/>
</cp:coreProperties>
</file>