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2E74B5"/>
          <w:sz w:val="20"/>
        </w:rPr>
        <w:t>ACTION PLAN</w:t>
      </w:r>
    </w:p>
    <w:p>
      <w:pPr>
        <w:spacing w:after="120"/>
      </w:pPr>
      <w:r>
        <w:rPr>
          <w:rFonts w:ascii="Calibri" w:hAnsi="Calibri"/>
          <w:b/>
          <w:i w:val="0"/>
          <w:color w:val="0B2545"/>
          <w:sz w:val="48"/>
        </w:rPr>
        <w:t>S4G vNext Clean-Galaxy and Controlled-Injection Library</w:t>
      </w:r>
    </w:p>
    <w:p>
      <w:pPr>
        <w:spacing w:after="280"/>
      </w:pPr>
      <w:r>
        <w:rPr>
          <w:rFonts w:ascii="Calibri" w:hAnsi="Calibri"/>
          <w:b w:val="0"/>
          <w:i w:val="0"/>
          <w:color w:val="666666"/>
          <w:sz w:val="26"/>
        </w:rPr>
        <w:t>A reproducible, Haigh-style validation framework for foreground-object masking and bar-profile recovery</w:t>
      </w:r>
    </w:p>
    <w:p>
      <w:pPr>
        <w:spacing w:after="0"/>
      </w:pPr>
      <w:r>
        <w:rPr>
          <w:rFonts w:ascii="Calibri" w:hAnsi="Calibri"/>
          <w:b/>
          <w:i w:val="0"/>
          <w:color w:val="0B2545"/>
          <w:sz w:val="22"/>
        </w:rPr>
        <w:t xml:space="preserve">Purpose: </w:t>
      </w:r>
      <w:r>
        <w:rPr>
          <w:rFonts w:ascii="Calibri" w:hAnsi="Calibri"/>
          <w:b w:val="0"/>
          <w:i w:val="0"/>
          <w:color w:val="000000"/>
          <w:sz w:val="22"/>
        </w:rPr>
        <w:t>Define the next implementable version of the S4G foreground-masking test framework</w:t>
      </w:r>
    </w:p>
    <w:p>
      <w:pPr>
        <w:spacing w:after="0"/>
      </w:pPr>
      <w:r>
        <w:rPr>
          <w:rFonts w:ascii="Calibri" w:hAnsi="Calibri"/>
          <w:b/>
          <w:i w:val="0"/>
          <w:color w:val="0B2545"/>
          <w:sz w:val="22"/>
        </w:rPr>
        <w:t xml:space="preserve">Primary users: </w:t>
      </w:r>
      <w:r>
        <w:rPr>
          <w:rFonts w:ascii="Calibri" w:hAnsi="Calibri"/>
          <w:b w:val="0"/>
          <w:i w:val="0"/>
          <w:color w:val="000000"/>
          <w:sz w:val="22"/>
        </w:rPr>
        <w:t>Researcher/developer; later collaborators and reviewers</w:t>
      </w:r>
    </w:p>
    <w:p>
      <w:pPr>
        <w:spacing w:after="0"/>
      </w:pPr>
      <w:r>
        <w:rPr>
          <w:rFonts w:ascii="Calibri" w:hAnsi="Calibri"/>
          <w:b/>
          <w:i w:val="0"/>
          <w:color w:val="0B2545"/>
          <w:sz w:val="22"/>
        </w:rPr>
        <w:t xml:space="preserve">Recommended pilot: </w:t>
      </w:r>
      <w:r>
        <w:rPr>
          <w:rFonts w:ascii="Calibri" w:hAnsi="Calibri"/>
          <w:b w:val="0"/>
          <w:i w:val="0"/>
          <w:color w:val="000000"/>
          <w:sz w:val="22"/>
        </w:rPr>
        <w:t>40 clean S4G bases × 25 controlled realizations = 1,000 paired cases</w:t>
      </w:r>
    </w:p>
    <w:p>
      <w:pPr>
        <w:spacing w:after="0"/>
      </w:pPr>
      <w:r>
        <w:rPr>
          <w:rFonts w:ascii="Calibri" w:hAnsi="Calibri"/>
          <w:b/>
          <w:i w:val="0"/>
          <w:color w:val="0B2545"/>
          <w:sz w:val="22"/>
        </w:rPr>
        <w:t xml:space="preserve">Planning horizon: </w:t>
      </w:r>
      <w:r>
        <w:rPr>
          <w:rFonts w:ascii="Calibri" w:hAnsi="Calibri"/>
          <w:b w:val="0"/>
          <w:i w:val="0"/>
          <w:color w:val="000000"/>
          <w:sz w:val="22"/>
        </w:rPr>
        <w:t>12-week pilot, followed by a scale-up decision</w:t>
      </w:r>
    </w:p>
    <w:p>
      <w:pPr>
        <w:spacing w:after="0"/>
      </w:pPr>
      <w:r>
        <w:rPr>
          <w:rFonts w:ascii="Calibri" w:hAnsi="Calibri"/>
          <w:b/>
          <w:i w:val="0"/>
          <w:color w:val="0B2545"/>
          <w:sz w:val="22"/>
        </w:rPr>
        <w:t xml:space="preserve">Status: </w:t>
      </w:r>
      <w:r>
        <w:rPr>
          <w:rFonts w:ascii="Calibri" w:hAnsi="Calibri"/>
          <w:b w:val="0"/>
          <w:i w:val="0"/>
          <w:color w:val="000000"/>
          <w:sz w:val="22"/>
        </w:rPr>
        <w:t>Proposed action plan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0"/>
            </w:pPr>
            <w:r>
              <w:rPr>
                <w:rFonts w:ascii="Calibri" w:hAnsi="Calibri"/>
                <w:b/>
                <w:i w:val="0"/>
                <w:color w:val="0B2545"/>
                <w:sz w:val="22"/>
              </w:rPr>
              <w:t xml:space="preserve">Recommendation  </w:t>
            </w:r>
            <w:r>
              <w:rPr>
                <w:rFonts w:ascii="Calibri" w:hAnsi="Calibri"/>
                <w:b w:val="0"/>
                <w:i w:val="0"/>
                <w:color w:val="0B2545"/>
                <w:sz w:val="22"/>
              </w:rPr>
              <w:t>Build S4G vNext around immutable, visually validated S4G galaxy bases and independently generated foreground layers. Preserve exact truth at every stage, and evaluate parameter sets by galaxy-held-out cross-validation. Do not use APOD or processed astrophotography as quantitative training data.</w:t>
            </w:r>
          </w:p>
        </w:tc>
      </w:tr>
    </w:tbl>
    <w:p>
      <w:pPr>
        <w:spacing w:after="0"/>
      </w:pPr>
    </w:p>
    <w:p>
      <w:pPr>
        <w:pStyle w:val="Heading1"/>
      </w:pPr>
      <w:r>
        <w:t>1. Decision and intended outcome</w:t>
      </w:r>
    </w:p>
    <w:p>
      <w:r>
        <w:t>S4G vNext should convert the current collection of clean galaxies and toy injections into a versioned scientific dataset and repeatable evaluation pipeline. The goal is not simply to accumulate more images. The goal is to create experiments in which the uncontaminated galaxy, added foreground signal, expected foreground mask, and resulting profile damage are all known and auditable.</w:t>
      </w:r>
    </w:p>
    <w:p>
      <w:r>
        <w:t>The design follows the strongest principle in Haigh et al.: quantitative optimisation requires simulated or controlled data with known ground truth, while real survey fields remain valuable for qualitative stress testing. For S4G, the controlled unit should be a real 3.6 μm galaxy image plus a synthetic, separately stored contaminant layer.</w:t>
      </w:r>
    </w:p>
    <w:p>
      <w:pPr>
        <w:pStyle w:val="Heading2"/>
      </w:pPr>
      <w:r>
        <w:t>Success at the end of the pilot</w:t>
      </w:r>
    </w:p>
    <w:p>
      <w:pPr>
        <w:pStyle w:val="ListBullet"/>
        <w:spacing w:after="100" w:line="264" w:lineRule="auto"/>
      </w:pPr>
      <w:r>
        <w:rPr>
          <w:rFonts w:ascii="Calibri" w:hAnsi="Calibri"/>
          <w:b w:val="0"/>
          <w:i w:val="0"/>
          <w:color w:val="000000"/>
          <w:sz w:val="22"/>
        </w:rPr>
        <w:t>A locked v1.0 catalogue of 40 clean, eligible S4G base galaxies with documented review evidence.</w:t>
      </w:r>
    </w:p>
    <w:p>
      <w:pPr>
        <w:pStyle w:val="ListBullet"/>
        <w:spacing w:after="100" w:line="264" w:lineRule="auto"/>
      </w:pPr>
      <w:r>
        <w:rPr>
          <w:rFonts w:ascii="Calibri" w:hAnsi="Calibri"/>
          <w:b w:val="0"/>
          <w:i w:val="0"/>
          <w:color w:val="000000"/>
          <w:sz w:val="22"/>
        </w:rPr>
        <w:t>A reproducible generator producing 1,000 paired clean/contaminated cases and exact pixel-level truth.</w:t>
      </w:r>
    </w:p>
    <w:p>
      <w:pPr>
        <w:pStyle w:val="ListBullet"/>
        <w:spacing w:after="100" w:line="264" w:lineRule="auto"/>
      </w:pPr>
      <w:r>
        <w:rPr>
          <w:rFonts w:ascii="Calibri" w:hAnsi="Calibri"/>
          <w:b w:val="0"/>
          <w:i w:val="0"/>
          <w:color w:val="000000"/>
          <w:sz w:val="22"/>
        </w:rPr>
        <w:t>Galaxy-held-out train, validation, and test folds that prevent multiple realizations of one galaxy leaking across folds.</w:t>
      </w:r>
    </w:p>
    <w:p>
      <w:pPr>
        <w:pStyle w:val="ListBullet"/>
        <w:spacing w:after="100" w:line="264" w:lineRule="auto"/>
      </w:pPr>
      <w:r>
        <w:rPr>
          <w:rFonts w:ascii="Calibri" w:hAnsi="Calibri"/>
          <w:b w:val="0"/>
          <w:i w:val="0"/>
          <w:color w:val="000000"/>
          <w:sz w:val="22"/>
        </w:rPr>
        <w:t>A common evaluator for SEP and MTObjects, including foreground recovery, clean-galaxy damage, and bar-profile fidelity.</w:t>
      </w:r>
    </w:p>
    <w:p>
      <w:pPr>
        <w:pStyle w:val="ListBullet"/>
        <w:spacing w:after="100" w:line="264" w:lineRule="auto"/>
      </w:pPr>
      <w:r>
        <w:rPr>
          <w:rFonts w:ascii="Calibri" w:hAnsi="Calibri"/>
          <w:b w:val="0"/>
          <w:i w:val="0"/>
          <w:color w:val="000000"/>
          <w:sz w:val="22"/>
        </w:rPr>
        <w:t>A release manifest, configurations, checksums, QA reports, and methods note sufficient to rerun the experiment.</w:t>
      </w:r>
    </w:p>
    <w:p>
      <w:pPr>
        <w:pStyle w:val="Heading1"/>
      </w:pPr>
      <w:r>
        <w:t>2. Scope and scientific design</w:t>
      </w:r>
    </w:p>
    <w:p>
      <w:pPr>
        <w:pStyle w:val="Heading2"/>
      </w:pPr>
      <w:r>
        <w:t>In scope</w:t>
      </w:r>
    </w:p>
    <w:p>
      <w:pPr>
        <w:pStyle w:val="ListBullet"/>
        <w:spacing w:after="100" w:line="264" w:lineRule="auto"/>
      </w:pPr>
      <w:r>
        <w:rPr>
          <w:rFonts w:ascii="Calibri" w:hAnsi="Calibri"/>
          <w:b w:val="0"/>
          <w:i w:val="0"/>
          <w:color w:val="000000"/>
          <w:sz w:val="22"/>
        </w:rPr>
        <w:t>Existing S4G 3.6 μm FITS images and the currently validated 40-galaxy clean list.</w:t>
      </w:r>
    </w:p>
    <w:p>
      <w:pPr>
        <w:pStyle w:val="ListBullet"/>
        <w:spacing w:after="100" w:line="264" w:lineRule="auto"/>
      </w:pPr>
      <w:r>
        <w:rPr>
          <w:rFonts w:ascii="Calibri" w:hAnsi="Calibri"/>
          <w:b w:val="0"/>
          <w:i w:val="0"/>
          <w:color w:val="000000"/>
          <w:sz w:val="22"/>
        </w:rPr>
        <w:t>Empirical or physically parameterised IRAC-like foreground point sources, including ordinary stars, bright cores, extended wings, and diffraction-spike cases.</w:t>
      </w:r>
    </w:p>
    <w:p>
      <w:pPr>
        <w:pStyle w:val="ListBullet"/>
        <w:spacing w:after="100" w:line="264" w:lineRule="auto"/>
      </w:pPr>
      <w:r>
        <w:rPr>
          <w:rFonts w:ascii="Calibri" w:hAnsi="Calibri"/>
          <w:b w:val="0"/>
          <w:i w:val="0"/>
          <w:color w:val="000000"/>
          <w:sz w:val="22"/>
        </w:rPr>
        <w:t>Cases sampled both randomly and deliberately across scientifically sensitive zones: bar major axis, bar end, centre exclusion boundary, disc, and background sky.</w:t>
      </w:r>
    </w:p>
    <w:p>
      <w:pPr>
        <w:pStyle w:val="ListBullet"/>
        <w:spacing w:after="100" w:line="264" w:lineRule="auto"/>
      </w:pPr>
      <w:r>
        <w:rPr>
          <w:rFonts w:ascii="Calibri" w:hAnsi="Calibri"/>
          <w:b w:val="0"/>
          <w:i w:val="0"/>
          <w:color w:val="000000"/>
          <w:sz w:val="22"/>
        </w:rPr>
        <w:t>Paired evaluation of SEP and MTObjects using identical cases, folds, truth definitions, and metrics.</w:t>
      </w:r>
    </w:p>
    <w:p>
      <w:pPr>
        <w:pStyle w:val="ListBullet"/>
        <w:spacing w:after="100" w:line="264" w:lineRule="auto"/>
      </w:pPr>
      <w:r>
        <w:rPr>
          <w:rFonts w:ascii="Calibri" w:hAnsi="Calibri"/>
          <w:b w:val="0"/>
          <w:i w:val="0"/>
          <w:color w:val="000000"/>
          <w:sz w:val="22"/>
        </w:rPr>
        <w:t>Native-resolution products plus explicitly labelled derived views; the native FITS data remain authoritative.</w:t>
      </w:r>
    </w:p>
    <w:p>
      <w:pPr>
        <w:pStyle w:val="Heading2"/>
      </w:pPr>
      <w:r>
        <w:t>Out of scope for the quantitative library</w:t>
      </w:r>
    </w:p>
    <w:p>
      <w:pPr>
        <w:pStyle w:val="ListBullet"/>
        <w:spacing w:after="100" w:line="264" w:lineRule="auto"/>
      </w:pPr>
      <w:r>
        <w:rPr>
          <w:rFonts w:ascii="Calibri" w:hAnsi="Calibri"/>
          <w:b w:val="0"/>
          <w:i w:val="0"/>
          <w:color w:val="000000"/>
          <w:sz w:val="22"/>
        </w:rPr>
        <w:t>APOD and amateur astrophotography images, because stretching, compositing, denoising, star reduction, PSF, calibration, and reuse rights are heterogeneous.</w:t>
      </w:r>
    </w:p>
    <w:p>
      <w:pPr>
        <w:pStyle w:val="ListBullet"/>
        <w:spacing w:after="100" w:line="264" w:lineRule="auto"/>
      </w:pPr>
      <w:r>
        <w:rPr>
          <w:rFonts w:ascii="Calibri" w:hAnsi="Calibri"/>
          <w:b w:val="0"/>
          <w:i w:val="0"/>
          <w:color w:val="000000"/>
          <w:sz w:val="22"/>
        </w:rPr>
        <w:t>Images cleaned by the algorithm under test and then treated as ground truth.</w:t>
      </w:r>
    </w:p>
    <w:p>
      <w:pPr>
        <w:pStyle w:val="ListBullet"/>
        <w:spacing w:after="100" w:line="264" w:lineRule="auto"/>
      </w:pPr>
      <w:r>
        <w:rPr>
          <w:rFonts w:ascii="Calibri" w:hAnsi="Calibri"/>
          <w:b w:val="0"/>
          <w:i w:val="0"/>
          <w:color w:val="000000"/>
          <w:sz w:val="22"/>
        </w:rPr>
        <w:t>Cross-survey images mixed into a single optimisation set without survey-specific PSF/noise modelling.</w:t>
      </w:r>
    </w:p>
    <w:p>
      <w:pPr>
        <w:pStyle w:val="ListBullet"/>
        <w:spacing w:after="100" w:line="264" w:lineRule="auto"/>
      </w:pPr>
      <w:r>
        <w:rPr>
          <w:rFonts w:ascii="Calibri" w:hAnsi="Calibri"/>
          <w:b w:val="0"/>
          <w:i w:val="0"/>
          <w:color w:val="000000"/>
          <w:sz w:val="22"/>
        </w:rPr>
        <w:t>A claim that the 40 clean galaxies are a statistically complete representation of all S4G morphologies; the pilot will measure coverage and identify gaps.</w:t>
      </w:r>
    </w:p>
    <w:p>
      <w:pPr>
        <w:pStyle w:val="Heading2"/>
      </w:pPr>
      <w:r>
        <w:t>Core dataset contract</w:t>
      </w:r>
    </w:p>
    <w:tbl>
      <w:tblPr>
        <w:tblStyle w:val="TableGrid"/>
        <w:tblW w:type="dxa" w:w="9360"/>
        <w:tblLayout w:type="fixed"/>
        <w:tblLook w:firstColumn="1" w:firstRow="1" w:lastColumn="0" w:lastRow="0" w:noHBand="0" w:noVBand="1" w:val="04A0"/>
        <w:tblInd w:w="120" w:type="dxa"/>
      </w:tblPr>
      <w:tblGrid>
        <w:gridCol w:w="1800"/>
        <w:gridCol w:w="4020"/>
        <w:gridCol w:w="3540"/>
      </w:tblGrid>
      <w:tr>
        <w:trPr>
          <w:tblHeader w:val="true"/>
          <w:cantSplit w:val="true"/>
        </w:trPr>
        <w:tc>
          <w:tcPr>
            <w:tcW w:type="dxa" w:w="1800"/>
            <w:shd w:fill="F2F4F7"/>
            <w:vAlign w:val="center"/>
            <w:tcMar>
              <w:top w:w="80" w:type="dxa"/>
              <w:start w:w="120" w:type="dxa"/>
              <w:bottom w:w="80" w:type="dxa"/>
              <w:end w:w="120" w:type="dxa"/>
            </w:tcMar>
          </w:tcPr>
          <w:p>
            <w:pPr>
              <w:spacing w:after="0"/>
            </w:pPr>
            <w:r>
              <w:rPr>
                <w:rFonts w:ascii="Calibri" w:hAnsi="Calibri"/>
                <w:b/>
                <w:i w:val="0"/>
                <w:color w:val="0B2545"/>
                <w:sz w:val="19"/>
              </w:rPr>
              <w:t>Product</w:t>
            </w:r>
          </w:p>
        </w:tc>
        <w:tc>
          <w:tcPr>
            <w:tcW w:type="dxa" w:w="4020"/>
            <w:shd w:fill="F2F4F7"/>
            <w:vAlign w:val="center"/>
            <w:tcMar>
              <w:top w:w="80" w:type="dxa"/>
              <w:start w:w="120" w:type="dxa"/>
              <w:bottom w:w="80" w:type="dxa"/>
              <w:end w:w="120" w:type="dxa"/>
            </w:tcMar>
          </w:tcPr>
          <w:p>
            <w:pPr>
              <w:spacing w:after="0"/>
            </w:pPr>
            <w:r>
              <w:rPr>
                <w:rFonts w:ascii="Calibri" w:hAnsi="Calibri"/>
                <w:b/>
                <w:i w:val="0"/>
                <w:color w:val="0B2545"/>
                <w:sz w:val="19"/>
              </w:rPr>
              <w:t>Definition</w:t>
            </w:r>
          </w:p>
        </w:tc>
        <w:tc>
          <w:tcPr>
            <w:tcW w:type="dxa" w:w="3540"/>
            <w:shd w:fill="F2F4F7"/>
            <w:vAlign w:val="center"/>
            <w:tcMar>
              <w:top w:w="80" w:type="dxa"/>
              <w:start w:w="120" w:type="dxa"/>
              <w:bottom w:w="80" w:type="dxa"/>
              <w:end w:w="120" w:type="dxa"/>
            </w:tcMar>
          </w:tcPr>
          <w:p>
            <w:pPr>
              <w:spacing w:after="0"/>
            </w:pPr>
            <w:r>
              <w:rPr>
                <w:rFonts w:ascii="Calibri" w:hAnsi="Calibri"/>
                <w:b/>
                <w:i w:val="0"/>
                <w:color w:val="0B2545"/>
                <w:sz w:val="19"/>
              </w:rPr>
              <w:t>Scientific use</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clean_base.fits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Reviewed native S4G science image; never overwritten</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Control image and damage measurement</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foreground.fits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Added foreground flux only</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Exact signal provenance and flux accounting</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contaminated.fits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clean_base + foreground under a recorded seed</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Input to SEP/MTObjects</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truth_mask.fits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Binary foreground footprint under a declared truth threshold</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Pixel recall, precision, leakage</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truth_labels.fits</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Integer source IDs and optional component classes</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Per-source and failure-mode analysis</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injections.csv</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Position, flux, morphology, PSF, zone, seed</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Reconstruction and stratified reporting</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case.json</w:t>
            </w:r>
          </w:p>
        </w:tc>
        <w:tc>
          <w:tcPr>
            <w:tcW w:type="dxa" w:w="4020"/>
            <w:vAlign w:val="top"/>
            <w:tcMar>
              <w:top w:w="80" w:type="dxa"/>
              <w:start w:w="120" w:type="dxa"/>
              <w:bottom w:w="80" w:type="dxa"/>
              <w:end w:w="120" w:type="dxa"/>
            </w:tcMar>
          </w:tcPr>
          <w:p>
            <w:pPr>
              <w:spacing w:after="0" w:line="240" w:lineRule="auto"/>
            </w:pPr>
            <w:r>
              <w:rPr>
                <w:rFonts w:ascii="Calibri" w:hAnsi="Calibri"/>
                <w:b w:val="0"/>
                <w:i w:val="0"/>
                <w:color w:val="000000"/>
                <w:sz w:val="17"/>
              </w:rPr>
              <w:t>Paths, hashes, versions, units, WCS, configuration</w:t>
            </w:r>
          </w:p>
        </w:tc>
        <w:tc>
          <w:tcPr>
            <w:tcW w:type="dxa" w:w="3540"/>
            <w:vAlign w:val="top"/>
            <w:tcMar>
              <w:top w:w="80" w:type="dxa"/>
              <w:start w:w="120" w:type="dxa"/>
              <w:bottom w:w="80" w:type="dxa"/>
              <w:end w:w="120" w:type="dxa"/>
            </w:tcMar>
          </w:tcPr>
          <w:p>
            <w:pPr>
              <w:spacing w:after="0" w:line="240" w:lineRule="auto"/>
            </w:pPr>
            <w:r>
              <w:rPr>
                <w:rFonts w:ascii="Calibri" w:hAnsi="Calibri"/>
                <w:b w:val="0"/>
                <w:i w:val="0"/>
                <w:color w:val="000000"/>
                <w:sz w:val="17"/>
              </w:rPr>
              <w:t>Audit and reproducibility</w:t>
            </w:r>
          </w:p>
        </w:tc>
      </w:tr>
    </w:tbl>
    <w:p>
      <w:pPr>
        <w:spacing w:after="0"/>
      </w:pPr>
    </w:p>
    <w:p>
      <w:pPr>
        <w:pStyle w:val="Heading1"/>
      </w:pPr>
      <w:r>
        <w:t>3. Work plan</w:t>
      </w:r>
    </w:p>
    <w:p>
      <w:pPr>
        <w:pStyle w:val="Heading2"/>
      </w:pPr>
      <w:r>
        <w:t>Phase 0 — Freeze the experiment specification (Week 1)</w:t>
      </w:r>
    </w:p>
    <w:p>
      <w:pPr>
        <w:pStyle w:val="ListNumber"/>
        <w:spacing w:after="120" w:line="264" w:lineRule="auto"/>
      </w:pPr>
      <w:r>
        <w:rPr>
          <w:rFonts w:ascii="Calibri" w:hAnsi="Calibri"/>
          <w:b/>
          <w:i w:val="0"/>
          <w:color w:val="0B2545"/>
          <w:sz w:val="22"/>
        </w:rPr>
        <w:t xml:space="preserve">Define “clean”. </w:t>
      </w:r>
      <w:r>
        <w:rPr>
          <w:rFonts w:ascii="Calibri" w:hAnsi="Calibri"/>
          <w:b w:val="0"/>
          <w:i w:val="0"/>
          <w:color w:val="000000"/>
          <w:sz w:val="22"/>
        </w:rPr>
        <w:t>Use operational criteria: no visually significant foreground source within the measurement region, no unresolved saturation/ghost artifact, valid science data and geometry, and no prior algorithmic replacement used as truth.</w:t>
      </w:r>
    </w:p>
    <w:p>
      <w:pPr>
        <w:pStyle w:val="ListNumber"/>
        <w:spacing w:after="120" w:line="264" w:lineRule="auto"/>
      </w:pPr>
      <w:r>
        <w:rPr>
          <w:rFonts w:ascii="Calibri" w:hAnsi="Calibri"/>
          <w:b/>
          <w:i w:val="0"/>
          <w:color w:val="0B2545"/>
          <w:sz w:val="22"/>
        </w:rPr>
        <w:t xml:space="preserve">Define truth.  </w:t>
      </w:r>
      <w:r>
        <w:rPr>
          <w:rFonts w:ascii="Calibri" w:hAnsi="Calibri"/>
          <w:b w:val="0"/>
          <w:i w:val="0"/>
          <w:color w:val="000000"/>
          <w:sz w:val="22"/>
        </w:rPr>
        <w:t>Choose explicit thresholds for the core, wings, and spike components. Keep both a strict truth mask and an expanded photometric-impact mask if they answer different questions.</w:t>
      </w:r>
    </w:p>
    <w:p>
      <w:pPr>
        <w:pStyle w:val="ListNumber"/>
        <w:spacing w:after="120" w:line="264" w:lineRule="auto"/>
      </w:pPr>
      <w:r>
        <w:rPr>
          <w:rFonts w:ascii="Calibri" w:hAnsi="Calibri"/>
          <w:b/>
          <w:i w:val="0"/>
          <w:color w:val="0B2545"/>
          <w:sz w:val="22"/>
        </w:rPr>
        <w:t xml:space="preserve">Define the primary endpoint. </w:t>
      </w:r>
      <w:r>
        <w:rPr>
          <w:rFonts w:ascii="Calibri" w:hAnsi="Calibri"/>
          <w:b w:val="0"/>
          <w:i w:val="0"/>
          <w:color w:val="000000"/>
          <w:sz w:val="22"/>
        </w:rPr>
        <w:t>Adopt bar-profile fidelity as the principal scientific endpoint, supported by mask recall/precision and clean-control damage metrics.</w:t>
      </w:r>
    </w:p>
    <w:p>
      <w:pPr>
        <w:pStyle w:val="ListNumber"/>
        <w:spacing w:after="120" w:line="264" w:lineRule="auto"/>
      </w:pPr>
      <w:r>
        <w:rPr>
          <w:rFonts w:ascii="Calibri" w:hAnsi="Calibri"/>
          <w:b/>
          <w:i w:val="0"/>
          <w:color w:val="0B2545"/>
          <w:sz w:val="22"/>
        </w:rPr>
        <w:t xml:space="preserve">Version the specification. </w:t>
      </w:r>
      <w:r>
        <w:rPr>
          <w:rFonts w:ascii="Calibri" w:hAnsi="Calibri"/>
          <w:b w:val="0"/>
          <w:i w:val="0"/>
          <w:color w:val="000000"/>
          <w:sz w:val="22"/>
        </w:rPr>
        <w:t>Store the agreed schema, eligibility rules, seeds, fold policy, and metric equations in a machine-readable configuration committed with the code.</w:t>
      </w:r>
    </w:p>
    <w:p>
      <w:pPr>
        <w:pStyle w:val="Heading2"/>
      </w:pPr>
      <w:r>
        <w:t>Phase 1 — Audit and stratify clean S4G bases (Weeks 1–2)</w:t>
      </w:r>
    </w:p>
    <w:p>
      <w:r>
        <w:t>Re-review the existing 40-galaxy list rather than assuming its filename suffix is sufficient validation. The audit should be blind to the preferred algorithm settings.</w:t>
      </w:r>
    </w:p>
    <w:p>
      <w:pPr>
        <w:pStyle w:val="ListBullet"/>
        <w:spacing w:after="100" w:line="264" w:lineRule="auto"/>
      </w:pPr>
      <w:r>
        <w:rPr>
          <w:rFonts w:ascii="Calibri" w:hAnsi="Calibri"/>
          <w:b w:val="0"/>
          <w:i w:val="0"/>
          <w:color w:val="000000"/>
          <w:sz w:val="22"/>
        </w:rPr>
        <w:t>Generate consistent review panels at native and stretched display scales, with bar geometry and science aperture overlaid.</w:t>
      </w:r>
    </w:p>
    <w:p>
      <w:pPr>
        <w:pStyle w:val="ListBullet"/>
        <w:spacing w:after="100" w:line="264" w:lineRule="auto"/>
      </w:pPr>
      <w:r>
        <w:rPr>
          <w:rFonts w:ascii="Calibri" w:hAnsi="Calibri"/>
          <w:b w:val="0"/>
          <w:i w:val="0"/>
          <w:color w:val="000000"/>
          <w:sz w:val="22"/>
        </w:rPr>
        <w:t>Record reviewer, date, status, contaminant notes, galaxy centre, pixel scale, PSF information, dimensions, and file checksum.</w:t>
      </w:r>
    </w:p>
    <w:p>
      <w:pPr>
        <w:pStyle w:val="ListBullet"/>
        <w:spacing w:after="100" w:line="264" w:lineRule="auto"/>
      </w:pPr>
      <w:r>
        <w:rPr>
          <w:rFonts w:ascii="Calibri" w:hAnsi="Calibri"/>
          <w:b w:val="0"/>
          <w:i w:val="0"/>
          <w:color w:val="000000"/>
          <w:sz w:val="22"/>
        </w:rPr>
        <w:t>Assign morphology/inclination/bar-size strata and quantify whether the 40 bases adequately cover the intended S4G science sample.</w:t>
      </w:r>
    </w:p>
    <w:p>
      <w:pPr>
        <w:pStyle w:val="ListBullet"/>
        <w:spacing w:after="100" w:line="264" w:lineRule="auto"/>
      </w:pPr>
      <w:r>
        <w:rPr>
          <w:rFonts w:ascii="Calibri" w:hAnsi="Calibri"/>
          <w:b w:val="0"/>
          <w:i w:val="0"/>
          <w:color w:val="000000"/>
          <w:sz w:val="22"/>
        </w:rPr>
        <w:t>Resolve disagreements explicitly; exclude questionable cases from v1.0 rather than silently accepting them.</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CE"/>
          </w:tcPr>
          <w:p>
            <w:pPr>
              <w:spacing w:after="0"/>
            </w:pPr>
            <w:r>
              <w:rPr>
                <w:rFonts w:ascii="Calibri" w:hAnsi="Calibri"/>
                <w:b/>
                <w:i w:val="0"/>
                <w:color w:val="0B2545"/>
                <w:sz w:val="22"/>
              </w:rPr>
              <w:t xml:space="preserve">Gate 1  </w:t>
            </w:r>
            <w:r>
              <w:rPr>
                <w:rFonts w:ascii="Calibri" w:hAnsi="Calibri"/>
                <w:b w:val="0"/>
                <w:i w:val="0"/>
                <w:color w:val="0B2545"/>
                <w:sz w:val="22"/>
              </w:rPr>
              <w:t>Proceed only when every base has an immutable checksum, an eligibility decision, complete geometry, and a traceable visual-review record.</w:t>
            </w:r>
          </w:p>
        </w:tc>
      </w:tr>
    </w:tbl>
    <w:p>
      <w:pPr>
        <w:spacing w:after="0"/>
      </w:pPr>
    </w:p>
    <w:p>
      <w:pPr>
        <w:pStyle w:val="Heading2"/>
      </w:pPr>
      <w:r>
        <w:t>Phase 2 — Build the empirical foreground model (Weeks 2–4)</w:t>
      </w:r>
    </w:p>
    <w:p>
      <w:r>
        <w:t>Construct a contaminant library appropriate to IRAC 3.6 μm data. Where possible, derive isolated-star stamps and PSF wings from S4G frames outside the target measurement region. Supplement these with parameterised models only where empirical coverage is insufficient.</w:t>
      </w:r>
    </w:p>
    <w:p>
      <w:pPr>
        <w:pStyle w:val="ListBullet"/>
        <w:spacing w:after="100" w:line="264" w:lineRule="auto"/>
      </w:pPr>
      <w:r>
        <w:rPr>
          <w:rFonts w:ascii="Calibri" w:hAnsi="Calibri"/>
          <w:b w:val="0"/>
          <w:i w:val="0"/>
          <w:color w:val="000000"/>
          <w:sz w:val="22"/>
        </w:rPr>
        <w:t>Separate ordinary point-source, bright-wing, saturated/near-saturated, and spike-bearing classes.</w:t>
      </w:r>
    </w:p>
    <w:p>
      <w:pPr>
        <w:pStyle w:val="ListBullet"/>
        <w:spacing w:after="100" w:line="264" w:lineRule="auto"/>
      </w:pPr>
      <w:r>
        <w:rPr>
          <w:rFonts w:ascii="Calibri" w:hAnsi="Calibri"/>
          <w:b w:val="0"/>
          <w:i w:val="0"/>
          <w:color w:val="000000"/>
          <w:sz w:val="22"/>
        </w:rPr>
        <w:t>Retain signed background-subtracted stamps, masks, normalization metadata, PSF orientation, and source provenance.</w:t>
      </w:r>
    </w:p>
    <w:p>
      <w:pPr>
        <w:pStyle w:val="ListBullet"/>
        <w:spacing w:after="100" w:line="264" w:lineRule="auto"/>
      </w:pPr>
      <w:r>
        <w:rPr>
          <w:rFonts w:ascii="Calibri" w:hAnsi="Calibri"/>
          <w:b w:val="0"/>
          <w:i w:val="0"/>
          <w:color w:val="000000"/>
          <w:sz w:val="22"/>
        </w:rPr>
        <w:t>Estimate realistic flux and spatial distributions from contaminated S4G fields rather than choosing uniform toy ranges by convenience.</w:t>
      </w:r>
    </w:p>
    <w:p>
      <w:pPr>
        <w:pStyle w:val="ListBullet"/>
        <w:spacing w:after="100" w:line="264" w:lineRule="auto"/>
      </w:pPr>
      <w:r>
        <w:rPr>
          <w:rFonts w:ascii="Calibri" w:hAnsi="Calibri"/>
          <w:b w:val="0"/>
          <w:i w:val="0"/>
          <w:color w:val="000000"/>
          <w:sz w:val="22"/>
        </w:rPr>
        <w:t>Include a small adversarial stratum crossing the bar major axis and bar ends; label it as deliberate oversampling.</w:t>
      </w:r>
    </w:p>
    <w:p>
      <w:pPr>
        <w:pStyle w:val="Heading2"/>
      </w:pPr>
      <w:r>
        <w:t>Phase 3 — Implement the paired-case generator (Weeks 4–6)</w:t>
      </w:r>
    </w:p>
    <w:p>
      <w:pPr>
        <w:pStyle w:val="ListBullet"/>
        <w:spacing w:after="100" w:line="264" w:lineRule="auto"/>
      </w:pPr>
      <w:r>
        <w:rPr>
          <w:rFonts w:ascii="Calibri" w:hAnsi="Calibri"/>
          <w:b w:val="0"/>
          <w:i w:val="0"/>
          <w:color w:val="000000"/>
          <w:sz w:val="22"/>
        </w:rPr>
        <w:t>Extend the existing paired-toy manifest workflow instead of creating an unrelated pipeline.</w:t>
      </w:r>
    </w:p>
    <w:p>
      <w:pPr>
        <w:pStyle w:val="ListBullet"/>
        <w:spacing w:after="100" w:line="264" w:lineRule="auto"/>
      </w:pPr>
      <w:r>
        <w:rPr>
          <w:rFonts w:ascii="Calibri" w:hAnsi="Calibri"/>
          <w:b w:val="0"/>
          <w:i w:val="0"/>
          <w:color w:val="000000"/>
          <w:sz w:val="22"/>
        </w:rPr>
        <w:t>Generate all products from a single case seed; ensure reruns reproduce identical pixels and catalogue rows.</w:t>
      </w:r>
    </w:p>
    <w:p>
      <w:pPr>
        <w:pStyle w:val="ListBullet"/>
        <w:spacing w:after="100" w:line="264" w:lineRule="auto"/>
      </w:pPr>
      <w:r>
        <w:rPr>
          <w:rFonts w:ascii="Calibri" w:hAnsi="Calibri"/>
          <w:b w:val="0"/>
          <w:i w:val="0"/>
          <w:color w:val="000000"/>
          <w:sz w:val="22"/>
        </w:rPr>
        <w:t>Reject placements outside valid coverage and record every rejection reason.</w:t>
      </w:r>
    </w:p>
    <w:p>
      <w:pPr>
        <w:pStyle w:val="ListBullet"/>
        <w:spacing w:after="100" w:line="264" w:lineRule="auto"/>
      </w:pPr>
      <w:r>
        <w:rPr>
          <w:rFonts w:ascii="Calibri" w:hAnsi="Calibri"/>
          <w:b w:val="0"/>
          <w:i w:val="0"/>
          <w:color w:val="000000"/>
          <w:sz w:val="22"/>
        </w:rPr>
        <w:t>Preserve flux conservation during sub-pixel shifting and PSF rotation; test edge and NaN handling.</w:t>
      </w:r>
    </w:p>
    <w:p>
      <w:pPr>
        <w:pStyle w:val="ListBullet"/>
        <w:spacing w:after="100" w:line="264" w:lineRule="auto"/>
      </w:pPr>
      <w:r>
        <w:rPr>
          <w:rFonts w:ascii="Calibri" w:hAnsi="Calibri"/>
          <w:b w:val="0"/>
          <w:i w:val="0"/>
          <w:color w:val="000000"/>
          <w:sz w:val="22"/>
        </w:rPr>
        <w:t>Write atomic outputs to a versioned directory and verify hashes before marking a case complete.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CE"/>
          </w:tcPr>
          <w:p>
            <w:pPr>
              <w:spacing w:after="0"/>
            </w:pPr>
            <w:r>
              <w:rPr>
                <w:rFonts w:ascii="Calibri" w:hAnsi="Calibri"/>
                <w:b/>
                <w:i w:val="0"/>
                <w:color w:val="0B2545"/>
                <w:sz w:val="22"/>
              </w:rPr>
              <w:t xml:space="preserve">Gate 2  </w:t>
            </w:r>
            <w:r>
              <w:rPr>
                <w:rFonts w:ascii="Calibri" w:hAnsi="Calibri"/>
                <w:b w:val="0"/>
                <w:i w:val="0"/>
                <w:color w:val="0B2545"/>
                <w:sz w:val="22"/>
              </w:rPr>
              <w:t>A 20-case smoke set must reproduce bit-for-bit, pass FITS/WCS/schema checks, and show exact agreement between contaminated − clean and the stored foreground layer within numerical tolerance.</w:t>
            </w:r>
          </w:p>
        </w:tc>
      </w:tr>
    </w:tbl>
    <w:p>
      <w:pPr>
        <w:spacing w:after="0"/>
      </w:pPr>
    </w:p>
    <w:p>
      <w:pPr>
        <w:pStyle w:val="Heading2"/>
      </w:pPr>
      <w:r>
        <w:t>Phase 4 — Create folds and the 1,000-case pilot (Weeks 6–7)</w:t>
      </w:r>
    </w:p>
    <w:p>
      <w:r>
        <w:t>Allocate galaxies—not individual realizations—to folds. All 25 realizations of a base galaxy must remain together. Stratify folds by morphology, inclination, bar size, and clean-image background characteristics as far as the sample permits.</w:t>
      </w:r>
    </w:p>
    <w:tbl>
      <w:tblPr>
        <w:tblStyle w:val="TableGrid"/>
        <w:tblW w:type="dxa" w:w="9360"/>
        <w:tblLayout w:type="fixed"/>
        <w:tblLook w:firstColumn="1" w:firstRow="1" w:lastColumn="0" w:lastRow="0" w:noHBand="0" w:noVBand="1" w:val="04A0"/>
        <w:tblInd w:w="120" w:type="dxa"/>
      </w:tblPr>
      <w:tblGrid>
        <w:gridCol w:w="1800"/>
        <w:gridCol w:w="2700"/>
        <w:gridCol w:w="4860"/>
      </w:tblGrid>
      <w:tr>
        <w:trPr>
          <w:tblHeader w:val="true"/>
          <w:cantSplit w:val="true"/>
        </w:trPr>
        <w:tc>
          <w:tcPr>
            <w:tcW w:type="dxa" w:w="1800"/>
            <w:shd w:fill="F2F4F7"/>
            <w:vAlign w:val="center"/>
            <w:tcMar>
              <w:top w:w="80" w:type="dxa"/>
              <w:start w:w="120" w:type="dxa"/>
              <w:bottom w:w="80" w:type="dxa"/>
              <w:end w:w="120" w:type="dxa"/>
            </w:tcMar>
          </w:tcPr>
          <w:p>
            <w:pPr>
              <w:spacing w:after="0"/>
            </w:pPr>
            <w:r>
              <w:rPr>
                <w:rFonts w:ascii="Calibri" w:hAnsi="Calibri"/>
                <w:b/>
                <w:i w:val="0"/>
                <w:color w:val="0B2545"/>
                <w:sz w:val="19"/>
              </w:rPr>
              <w:t>Partition</w:t>
            </w:r>
          </w:p>
        </w:tc>
        <w:tc>
          <w:tcPr>
            <w:tcW w:type="dxa" w:w="2700"/>
            <w:shd w:fill="F2F4F7"/>
            <w:vAlign w:val="center"/>
            <w:tcMar>
              <w:top w:w="80" w:type="dxa"/>
              <w:start w:w="120" w:type="dxa"/>
              <w:bottom w:w="80" w:type="dxa"/>
              <w:end w:w="120" w:type="dxa"/>
            </w:tcMar>
          </w:tcPr>
          <w:p>
            <w:pPr>
              <w:spacing w:after="0"/>
            </w:pPr>
            <w:r>
              <w:rPr>
                <w:rFonts w:ascii="Calibri" w:hAnsi="Calibri"/>
                <w:b/>
                <w:i w:val="0"/>
                <w:color w:val="0B2545"/>
                <w:sz w:val="19"/>
              </w:rPr>
              <w:t>Illustrative allocation</w:t>
            </w:r>
          </w:p>
        </w:tc>
        <w:tc>
          <w:tcPr>
            <w:tcW w:type="dxa" w:w="4860"/>
            <w:shd w:fill="F2F4F7"/>
            <w:vAlign w:val="center"/>
            <w:tcMar>
              <w:top w:w="80" w:type="dxa"/>
              <w:start w:w="120" w:type="dxa"/>
              <w:bottom w:w="80" w:type="dxa"/>
              <w:end w:w="120" w:type="dxa"/>
            </w:tcMar>
          </w:tcPr>
          <w:p>
            <w:pPr>
              <w:spacing w:after="0"/>
            </w:pPr>
            <w:r>
              <w:rPr>
                <w:rFonts w:ascii="Calibri" w:hAnsi="Calibri"/>
                <w:b/>
                <w:i w:val="0"/>
                <w:color w:val="0B2545"/>
                <w:sz w:val="19"/>
              </w:rPr>
              <w:t>Permitted use</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Training</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24 galaxies / 600 cases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Parameter optimisation and diagnostic iteration</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Validation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8 galaxies / 200 cases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Model/parameter selection and stopping decisions</w:t>
            </w:r>
          </w:p>
        </w:tc>
      </w:tr>
      <w:tr>
        <w:trPr>
          <w:cantSplit w:val="true"/>
        </w:trPr>
        <w:tc>
          <w:tcPr>
            <w:tcW w:type="dxa" w:w="1800"/>
            <w:vAlign w:val="top"/>
            <w:tcMar>
              <w:top w:w="80" w:type="dxa"/>
              <w:start w:w="120" w:type="dxa"/>
              <w:bottom w:w="80" w:type="dxa"/>
              <w:end w:w="120" w:type="dxa"/>
            </w:tcMar>
          </w:tcPr>
          <w:p>
            <w:pPr>
              <w:spacing w:after="0" w:line="240" w:lineRule="auto"/>
            </w:pPr>
            <w:r>
              <w:rPr>
                <w:rFonts w:ascii="Calibri" w:hAnsi="Calibri"/>
                <w:b w:val="0"/>
                <w:i w:val="0"/>
                <w:color w:val="000000"/>
                <w:sz w:val="17"/>
              </w:rPr>
              <w:t>Locked test</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8 galaxies / 200 cases</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One-time final comparison and reporting</w:t>
            </w:r>
          </w:p>
        </w:tc>
      </w:tr>
    </w:tbl>
    <w:p>
      <w:pPr>
        <w:spacing w:after="0"/>
      </w:pPr>
    </w:p>
    <w:p>
      <w:r>
        <w:t>The exact 24/8/8 split may be adjusted after the coverage audit, but the locked-test principle and galaxy-level grouping should not change after optimisation begins.</w:t>
      </w:r>
    </w:p>
    <w:p>
      <w:pPr>
        <w:pStyle w:val="Heading2"/>
      </w:pPr>
      <w:r>
        <w:t>Phase 5 — Unified optimisation and evaluation (Weeks 7–10)</w:t>
      </w:r>
    </w:p>
    <w:p>
      <w:pPr>
        <w:pStyle w:val="Heading3"/>
      </w:pPr>
      <w:r>
        <w:t>Primary metrics</w:t>
      </w:r>
    </w:p>
    <w:p>
      <w:pPr>
        <w:pStyle w:val="ListBullet"/>
        <w:spacing w:after="100" w:line="264" w:lineRule="auto"/>
      </w:pPr>
      <w:r>
        <w:rPr>
          <w:rFonts w:ascii="Calibri" w:hAnsi="Calibri"/>
          <w:b w:val="0"/>
          <w:i w:val="0"/>
          <w:color w:val="000000"/>
          <w:sz w:val="22"/>
        </w:rPr>
        <w:t>Bar-profile error: robust relative error and integrated absolute deviation within the defined bar measurement interval.</w:t>
      </w:r>
    </w:p>
    <w:p>
      <w:pPr>
        <w:pStyle w:val="ListBullet"/>
        <w:spacing w:after="100" w:line="264" w:lineRule="auto"/>
      </w:pPr>
      <w:r>
        <w:rPr>
          <w:rFonts w:ascii="Calibri" w:hAnsi="Calibri"/>
          <w:b w:val="0"/>
          <w:i w:val="0"/>
          <w:color w:val="000000"/>
          <w:sz w:val="22"/>
        </w:rPr>
        <w:t>Clean-control damage: fraction of unpolluted galaxy pixels masked or altered, plus flux/profile change on clean bases.</w:t>
      </w:r>
    </w:p>
    <w:p>
      <w:pPr>
        <w:pStyle w:val="ListBullet"/>
        <w:spacing w:after="100" w:line="264" w:lineRule="auto"/>
      </w:pPr>
      <w:r>
        <w:rPr>
          <w:rFonts w:ascii="Calibri" w:hAnsi="Calibri"/>
          <w:b w:val="0"/>
          <w:i w:val="0"/>
          <w:color w:val="000000"/>
          <w:sz w:val="22"/>
        </w:rPr>
        <w:t>Foreground recovery: truth-mask recall and precision, reported both by pixel area and by injected source.</w:t>
      </w:r>
    </w:p>
    <w:p>
      <w:pPr>
        <w:pStyle w:val="ListBullet"/>
        <w:spacing w:after="100" w:line="264" w:lineRule="auto"/>
      </w:pPr>
      <w:r>
        <w:rPr>
          <w:rFonts w:ascii="Calibri" w:hAnsi="Calibri"/>
          <w:b w:val="0"/>
          <w:i w:val="0"/>
          <w:color w:val="000000"/>
          <w:sz w:val="22"/>
        </w:rPr>
        <w:t>Residual contamination: unrecovered injected flux within the measurement aperture and bar-profile extraction strip.</w:t>
      </w:r>
    </w:p>
    <w:p>
      <w:pPr>
        <w:pStyle w:val="ListBullet"/>
        <w:spacing w:after="100" w:line="264" w:lineRule="auto"/>
      </w:pPr>
      <w:r>
        <w:rPr>
          <w:rFonts w:ascii="Calibri" w:hAnsi="Calibri"/>
          <w:b w:val="0"/>
          <w:i w:val="0"/>
          <w:color w:val="000000"/>
          <w:sz w:val="22"/>
        </w:rPr>
        <w:t>Failure severity: central/bar-crossing catastrophic failures reported separately from easy off-galaxy sources.</w:t>
      </w:r>
    </w:p>
    <w:p>
      <w:pPr>
        <w:pStyle w:val="Heading3"/>
      </w:pPr>
      <w:r>
        <w:t>Selection rule</w:t>
      </w:r>
    </w:p>
    <w:p>
      <w:r>
        <w:t>Use a constrained optimisation rather than a single unconstrained score: first require minimum recovery on scientifically important injections, then minimise clean-control damage and bar-profile error. Report medians, dispersion, worst-case tails, and bootstrap confidence intervals by held-out galaxy.</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CE"/>
          </w:tcPr>
          <w:p>
            <w:pPr>
              <w:spacing w:after="0"/>
            </w:pPr>
            <w:r>
              <w:rPr>
                <w:rFonts w:ascii="Calibri" w:hAnsi="Calibri"/>
                <w:b/>
                <w:i w:val="0"/>
                <w:color w:val="0B2545"/>
                <w:sz w:val="22"/>
              </w:rPr>
              <w:t xml:space="preserve">Gate 3  </w:t>
            </w:r>
            <w:r>
              <w:rPr>
                <w:rFonts w:ascii="Calibri" w:hAnsi="Calibri"/>
                <w:b w:val="0"/>
                <w:i w:val="0"/>
                <w:color w:val="0B2545"/>
                <w:sz w:val="22"/>
              </w:rPr>
              <w:t>Freeze candidate SEP and MTObjects configurations before opening the locked test fold. Any later change creates a new experiment version and a new test set.</w:t>
            </w:r>
          </w:p>
        </w:tc>
      </w:tr>
    </w:tbl>
    <w:p>
      <w:pPr>
        <w:spacing w:after="0"/>
      </w:pPr>
    </w:p>
    <w:p>
      <w:pPr>
        <w:pStyle w:val="Heading2"/>
      </w:pPr>
      <w:r>
        <w:t>Phase 6 — Release, document, and decide scale-up (Weeks 10–12)</w:t>
      </w:r>
    </w:p>
    <w:p>
      <w:pPr>
        <w:pStyle w:val="ListBullet"/>
        <w:spacing w:after="100" w:line="264" w:lineRule="auto"/>
      </w:pPr>
      <w:r>
        <w:rPr>
          <w:rFonts w:ascii="Calibri" w:hAnsi="Calibri"/>
          <w:b w:val="0"/>
          <w:i w:val="0"/>
          <w:color w:val="000000"/>
          <w:sz w:val="22"/>
        </w:rPr>
        <w:t>Run the frozen configurations once on the locked test set and generate paired comparison panels.</w:t>
      </w:r>
    </w:p>
    <w:p>
      <w:pPr>
        <w:pStyle w:val="ListBullet"/>
        <w:spacing w:after="100" w:line="264" w:lineRule="auto"/>
      </w:pPr>
      <w:r>
        <w:rPr>
          <w:rFonts w:ascii="Calibri" w:hAnsi="Calibri"/>
          <w:b w:val="0"/>
          <w:i w:val="0"/>
          <w:color w:val="000000"/>
          <w:sz w:val="22"/>
        </w:rPr>
        <w:t>Publish the dataset manifest, generation configuration, folds, hashes, summary tables, failure gallery, and environment/dependency record.</w:t>
      </w:r>
    </w:p>
    <w:p>
      <w:pPr>
        <w:pStyle w:val="ListBullet"/>
        <w:spacing w:after="100" w:line="264" w:lineRule="auto"/>
      </w:pPr>
      <w:r>
        <w:rPr>
          <w:rFonts w:ascii="Calibri" w:hAnsi="Calibri"/>
          <w:b w:val="0"/>
          <w:i w:val="0"/>
          <w:color w:val="000000"/>
          <w:sz w:val="22"/>
        </w:rPr>
        <w:t>Write a methods note distinguishing simulated truth, visually clean controls, and qualitative real-field tests.</w:t>
      </w:r>
    </w:p>
    <w:p>
      <w:pPr>
        <w:pStyle w:val="ListBullet"/>
        <w:spacing w:after="100" w:line="264" w:lineRule="auto"/>
      </w:pPr>
      <w:r>
        <w:rPr>
          <w:rFonts w:ascii="Calibri" w:hAnsi="Calibri"/>
          <w:b w:val="0"/>
          <w:i w:val="0"/>
          <w:color w:val="000000"/>
          <w:sz w:val="22"/>
        </w:rPr>
        <w:t>Decide whether to expand the number of clean bases, increase realizations, add new foreground classes, or introduce an external-survey robustness set.</w:t>
      </w:r>
    </w:p>
    <w:p>
      <w:pPr>
        <w:pStyle w:val="Heading1"/>
      </w:pPr>
      <w:r>
        <w:t>4. Proposed repository architecture</w:t>
      </w:r>
    </w:p>
    <w:p>
      <w:r>
        <w:t>Keep large FITS products outside Git if necessary, but keep manifests, schemas, configurations, small QA fixtures, and code under version control. Paths below are conceptual and should be resolved through the existing machine-path abstraction.</w:t>
      </w:r>
    </w:p>
    <w:tbl>
      <w:tblPr>
        <w:tblStyle w:val="TableGrid"/>
        <w:tblW w:type="dxa" w:w="9360"/>
        <w:tblLayout w:type="fixed"/>
        <w:tblLook w:firstColumn="1" w:firstRow="1" w:lastColumn="0" w:lastRow="0" w:noHBand="0" w:noVBand="1" w:val="04A0"/>
        <w:tblInd w:w="120" w:type="dxa"/>
      </w:tblPr>
      <w:tblGrid>
        <w:gridCol w:w="3060"/>
        <w:gridCol w:w="6300"/>
      </w:tblGrid>
      <w:tr>
        <w:trPr>
          <w:tblHeader w:val="true"/>
          <w:cantSplit w:val="true"/>
        </w:trPr>
        <w:tc>
          <w:tcPr>
            <w:tcW w:type="dxa" w:w="3060"/>
            <w:shd w:fill="F2F4F7"/>
            <w:vAlign w:val="center"/>
            <w:tcMar>
              <w:top w:w="80" w:type="dxa"/>
              <w:start w:w="120" w:type="dxa"/>
              <w:bottom w:w="80" w:type="dxa"/>
              <w:end w:w="120" w:type="dxa"/>
            </w:tcMar>
          </w:tcPr>
          <w:p>
            <w:pPr>
              <w:spacing w:after="0"/>
            </w:pPr>
            <w:r>
              <w:rPr>
                <w:rFonts w:ascii="Calibri" w:hAnsi="Calibri"/>
                <w:b/>
                <w:i w:val="0"/>
                <w:color w:val="0B2545"/>
                <w:sz w:val="19"/>
              </w:rPr>
              <w:t>Location</w:t>
            </w:r>
          </w:p>
        </w:tc>
        <w:tc>
          <w:tcPr>
            <w:tcW w:type="dxa" w:w="6300"/>
            <w:shd w:fill="F2F4F7"/>
            <w:vAlign w:val="center"/>
            <w:tcMar>
              <w:top w:w="80" w:type="dxa"/>
              <w:start w:w="120" w:type="dxa"/>
              <w:bottom w:w="80" w:type="dxa"/>
              <w:end w:w="120" w:type="dxa"/>
            </w:tcMar>
          </w:tcPr>
          <w:p>
            <w:pPr>
              <w:spacing w:after="0"/>
            </w:pPr>
            <w:r>
              <w:rPr>
                <w:rFonts w:ascii="Calibri" w:hAnsi="Calibri"/>
                <w:b/>
                <w:i w:val="0"/>
                <w:color w:val="0B2545"/>
                <w:sz w:val="19"/>
              </w:rPr>
              <w:t>Contents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S4G_vNext/spec/</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Dataset schema, clean criteria, truth definitions, metric specification</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S4G_vNext/manifests/</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Base-galaxy catalogue, foreground catalogue, fold manifest, release manifest</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S4G_vNext/config/</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Injection distributions, seeds, truth thresholds, evaluation settings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S4G_vNext/library/clean/</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Immutable clean FITS bases and metadata sidecars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S4G_vNext/library/foreground/</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Empirical/parameterised contaminant components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S4G_vNext/cases/&lt;release&gt;/</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Generated paired cases and exact truth products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S4G_vNext/qa/</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Review panels, schema reports, smoke fixtures, failure galleries</w:t>
            </w:r>
          </w:p>
        </w:tc>
      </w:tr>
      <w:tr>
        <w:trPr>
          <w:cantSplit w:val="true"/>
        </w:trPr>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S4G_vNext/results/</w:t>
            </w:r>
          </w:p>
        </w:tc>
        <w:tc>
          <w:tcPr>
            <w:tcW w:type="dxa" w:w="6300"/>
            <w:vAlign w:val="top"/>
            <w:tcMar>
              <w:top w:w="80" w:type="dxa"/>
              <w:start w:w="120" w:type="dxa"/>
              <w:bottom w:w="80" w:type="dxa"/>
              <w:end w:w="120" w:type="dxa"/>
            </w:tcMar>
          </w:tcPr>
          <w:p>
            <w:pPr>
              <w:spacing w:after="0" w:line="240" w:lineRule="auto"/>
            </w:pPr>
            <w:r>
              <w:rPr>
                <w:rFonts w:ascii="Calibri" w:hAnsi="Calibri"/>
                <w:b w:val="0"/>
                <w:i w:val="0"/>
                <w:color w:val="000000"/>
                <w:sz w:val="17"/>
              </w:rPr>
              <w:t>Frozen run outputs, summaries, configuration snapshots</w:t>
            </w:r>
          </w:p>
        </w:tc>
      </w:tr>
    </w:tbl>
    <w:p>
      <w:pPr>
        <w:spacing w:after="0"/>
      </w:pPr>
    </w:p>
    <w:p>
      <w:pPr>
        <w:pStyle w:val="Heading1"/>
      </w:pPr>
      <w:r>
        <w:t>5. Roles, controls, and acceptance criteria</w:t>
      </w:r>
    </w:p>
    <w:tbl>
      <w:tblPr>
        <w:tblStyle w:val="TableGrid"/>
        <w:tblW w:type="dxa" w:w="9360"/>
        <w:tblLayout w:type="fixed"/>
        <w:tblLook w:firstColumn="1" w:firstRow="1" w:lastColumn="0" w:lastRow="0" w:noHBand="0" w:noVBand="1" w:val="04A0"/>
        <w:tblInd w:w="120" w:type="dxa"/>
      </w:tblPr>
      <w:tblGrid>
        <w:gridCol w:w="2160"/>
        <w:gridCol w:w="2700"/>
        <w:gridCol w:w="4500"/>
      </w:tblGrid>
      <w:tr>
        <w:trPr>
          <w:tblHeader w:val="true"/>
          <w:cantSplit w:val="true"/>
        </w:trPr>
        <w:tc>
          <w:tcPr>
            <w:tcW w:type="dxa" w:w="2160"/>
            <w:shd w:fill="F2F4F7"/>
            <w:vAlign w:val="center"/>
            <w:tcMar>
              <w:top w:w="80" w:type="dxa"/>
              <w:start w:w="120" w:type="dxa"/>
              <w:bottom w:w="80" w:type="dxa"/>
              <w:end w:w="120" w:type="dxa"/>
            </w:tcMar>
          </w:tcPr>
          <w:p>
            <w:pPr>
              <w:spacing w:after="0"/>
            </w:pPr>
            <w:r>
              <w:rPr>
                <w:rFonts w:ascii="Calibri" w:hAnsi="Calibri"/>
                <w:b/>
                <w:i w:val="0"/>
                <w:color w:val="0B2545"/>
                <w:sz w:val="19"/>
              </w:rPr>
              <w:t>Workstream</w:t>
            </w:r>
          </w:p>
        </w:tc>
        <w:tc>
          <w:tcPr>
            <w:tcW w:type="dxa" w:w="2700"/>
            <w:shd w:fill="F2F4F7"/>
            <w:vAlign w:val="center"/>
            <w:tcMar>
              <w:top w:w="80" w:type="dxa"/>
              <w:start w:w="120" w:type="dxa"/>
              <w:bottom w:w="80" w:type="dxa"/>
              <w:end w:w="120" w:type="dxa"/>
            </w:tcMar>
          </w:tcPr>
          <w:p>
            <w:pPr>
              <w:spacing w:after="0"/>
            </w:pPr>
            <w:r>
              <w:rPr>
                <w:rFonts w:ascii="Calibri" w:hAnsi="Calibri"/>
                <w:b/>
                <w:i w:val="0"/>
                <w:color w:val="0B2545"/>
                <w:sz w:val="19"/>
              </w:rPr>
              <w:t>Accountability</w:t>
            </w:r>
          </w:p>
        </w:tc>
        <w:tc>
          <w:tcPr>
            <w:tcW w:type="dxa" w:w="4500"/>
            <w:shd w:fill="F2F4F7"/>
            <w:vAlign w:val="center"/>
            <w:tcMar>
              <w:top w:w="80" w:type="dxa"/>
              <w:start w:w="120" w:type="dxa"/>
              <w:bottom w:w="80" w:type="dxa"/>
              <w:end w:w="120" w:type="dxa"/>
            </w:tcMar>
          </w:tcPr>
          <w:p>
            <w:pPr>
              <w:spacing w:after="0"/>
            </w:pPr>
            <w:r>
              <w:rPr>
                <w:rFonts w:ascii="Calibri" w:hAnsi="Calibri"/>
                <w:b/>
                <w:i w:val="0"/>
                <w:color w:val="0B2545"/>
                <w:sz w:val="19"/>
              </w:rPr>
              <w:t>Acceptance evidence</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Clean-base curation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Scientific reviewer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Signed review status, notes, checksum, geometry completeness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Foreground modelling</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Pipeline developer + reviewer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Empirical provenance, flux/PSF distributions, visual stamp QA</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Case generation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Pipeline developer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Deterministic smoke tests, conservation tests, schema validation</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Fold design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Analysis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Galaxy grouping, stratification report, frozen fold hash</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Optimisation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Method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Config snapshots, repeatable runs, no test-fold access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Final evaluation</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Analysis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Locked run, uncertainty estimates, failure analysis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Release</w:t>
            </w:r>
          </w:p>
        </w:tc>
        <w:tc>
          <w:tcPr>
            <w:tcW w:type="dxa" w:w="2700"/>
            <w:vAlign w:val="top"/>
            <w:tcMar>
              <w:top w:w="80" w:type="dxa"/>
              <w:start w:w="120" w:type="dxa"/>
              <w:bottom w:w="80" w:type="dxa"/>
              <w:end w:w="120" w:type="dxa"/>
            </w:tcMar>
          </w:tcPr>
          <w:p>
            <w:pPr>
              <w:spacing w:after="0" w:line="240" w:lineRule="auto"/>
            </w:pPr>
            <w:r>
              <w:rPr>
                <w:rFonts w:ascii="Calibri" w:hAnsi="Calibri"/>
                <w:b w:val="0"/>
                <w:i w:val="0"/>
                <w:color w:val="000000"/>
                <w:sz w:val="17"/>
              </w:rPr>
              <w:t>Project owner</w:t>
            </w:r>
          </w:p>
        </w:tc>
        <w:tc>
          <w:tcPr>
            <w:tcW w:type="dxa" w:w="4500"/>
            <w:vAlign w:val="top"/>
            <w:tcMar>
              <w:top w:w="80" w:type="dxa"/>
              <w:start w:w="120" w:type="dxa"/>
              <w:bottom w:w="80" w:type="dxa"/>
              <w:end w:w="120" w:type="dxa"/>
            </w:tcMar>
          </w:tcPr>
          <w:p>
            <w:pPr>
              <w:spacing w:after="0" w:line="240" w:lineRule="auto"/>
            </w:pPr>
            <w:r>
              <w:rPr>
                <w:rFonts w:ascii="Calibri" w:hAnsi="Calibri"/>
                <w:b w:val="0"/>
                <w:i w:val="0"/>
                <w:color w:val="000000"/>
                <w:sz w:val="17"/>
              </w:rPr>
              <w:t>Version tag, manifest, documentation, checksums, archive location</w:t>
            </w:r>
          </w:p>
        </w:tc>
      </w:tr>
    </w:tbl>
    <w:p>
      <w:pPr>
        <w:spacing w:after="0"/>
      </w:pPr>
    </w:p>
    <w:p>
      <w:pPr>
        <w:pStyle w:val="Heading2"/>
      </w:pPr>
      <w:r>
        <w:t>Definition of done for S4G vNext pilot</w:t>
      </w:r>
    </w:p>
    <w:p>
      <w:pPr>
        <w:pStyle w:val="ListBullet"/>
        <w:spacing w:after="100" w:line="264" w:lineRule="auto"/>
      </w:pPr>
      <w:r>
        <w:rPr>
          <w:rFonts w:ascii="Calibri" w:hAnsi="Calibri"/>
          <w:b w:val="0"/>
          <w:i w:val="0"/>
          <w:color w:val="000000"/>
          <w:sz w:val="22"/>
        </w:rPr>
        <w:t>All 40 candidate bases have auditable status; only accepted bases appear in the released fold manifest.</w:t>
      </w:r>
    </w:p>
    <w:p>
      <w:pPr>
        <w:pStyle w:val="ListBullet"/>
        <w:spacing w:after="100" w:line="264" w:lineRule="auto"/>
      </w:pPr>
      <w:r>
        <w:rPr>
          <w:rFonts w:ascii="Calibri" w:hAnsi="Calibri"/>
          <w:b w:val="0"/>
          <w:i w:val="0"/>
          <w:color w:val="000000"/>
          <w:sz w:val="22"/>
        </w:rPr>
        <w:t>At least 1,000 valid cases are generated, or the final count and exclusions are transparently documented.</w:t>
      </w:r>
    </w:p>
    <w:p>
      <w:pPr>
        <w:pStyle w:val="ListBullet"/>
        <w:spacing w:after="100" w:line="264" w:lineRule="auto"/>
      </w:pPr>
      <w:r>
        <w:rPr>
          <w:rFonts w:ascii="Calibri" w:hAnsi="Calibri"/>
          <w:b w:val="0"/>
          <w:i w:val="0"/>
          <w:color w:val="000000"/>
          <w:sz w:val="22"/>
        </w:rPr>
        <w:t>Every case reconstructs from its manifest and passes flux-layer consistency checks.</w:t>
      </w:r>
    </w:p>
    <w:p>
      <w:pPr>
        <w:pStyle w:val="ListBullet"/>
        <w:spacing w:after="100" w:line="264" w:lineRule="auto"/>
      </w:pPr>
      <w:r>
        <w:rPr>
          <w:rFonts w:ascii="Calibri" w:hAnsi="Calibri"/>
          <w:b w:val="0"/>
          <w:i w:val="0"/>
          <w:color w:val="000000"/>
          <w:sz w:val="22"/>
        </w:rPr>
        <w:t>SEP and MTObjects are evaluated on precisely the same cases and truth masks.</w:t>
      </w:r>
    </w:p>
    <w:p>
      <w:pPr>
        <w:pStyle w:val="ListBullet"/>
        <w:spacing w:after="100" w:line="264" w:lineRule="auto"/>
      </w:pPr>
      <w:r>
        <w:rPr>
          <w:rFonts w:ascii="Calibri" w:hAnsi="Calibri"/>
          <w:b w:val="0"/>
          <w:i w:val="0"/>
          <w:color w:val="000000"/>
          <w:sz w:val="22"/>
        </w:rPr>
        <w:t>No galaxy identity crosses train/validation/test boundaries.</w:t>
      </w:r>
    </w:p>
    <w:p>
      <w:pPr>
        <w:pStyle w:val="ListBullet"/>
        <w:spacing w:after="100" w:line="264" w:lineRule="auto"/>
      </w:pPr>
      <w:r>
        <w:rPr>
          <w:rFonts w:ascii="Calibri" w:hAnsi="Calibri"/>
          <w:b w:val="0"/>
          <w:i w:val="0"/>
          <w:color w:val="000000"/>
          <w:sz w:val="22"/>
        </w:rPr>
        <w:t>The locked test is opened only after configuration freeze and is not recycled for tuning.</w:t>
      </w:r>
    </w:p>
    <w:p>
      <w:pPr>
        <w:pStyle w:val="ListBullet"/>
        <w:spacing w:after="100" w:line="264" w:lineRule="auto"/>
      </w:pPr>
      <w:r>
        <w:rPr>
          <w:rFonts w:ascii="Calibri" w:hAnsi="Calibri"/>
          <w:b w:val="0"/>
          <w:i w:val="0"/>
          <w:color w:val="000000"/>
          <w:sz w:val="22"/>
        </w:rPr>
        <w:t>A third party with the S4G inputs can reproduce manifests, injections, and summary metrics from documented commands.</w:t>
      </w:r>
    </w:p>
    <w:p>
      <w:pPr>
        <w:pStyle w:val="Heading1"/>
      </w:pPr>
      <w:r>
        <w:t>6. Principal risks and mitigations</w:t>
      </w:r>
    </w:p>
    <w:tbl>
      <w:tblPr>
        <w:tblStyle w:val="TableGrid"/>
        <w:tblW w:type="dxa" w:w="9360"/>
        <w:tblLayout w:type="fixed"/>
        <w:tblLook w:firstColumn="1" w:firstRow="1" w:lastColumn="0" w:lastRow="0" w:noHBand="0" w:noVBand="1" w:val="04A0"/>
        <w:tblInd w:w="120" w:type="dxa"/>
      </w:tblPr>
      <w:tblGrid>
        <w:gridCol w:w="2160"/>
        <w:gridCol w:w="3060"/>
        <w:gridCol w:w="4140"/>
      </w:tblGrid>
      <w:tr>
        <w:trPr>
          <w:tblHeader w:val="true"/>
          <w:cantSplit w:val="true"/>
        </w:trPr>
        <w:tc>
          <w:tcPr>
            <w:tcW w:type="dxa" w:w="2160"/>
            <w:shd w:fill="F2F4F7"/>
            <w:vAlign w:val="center"/>
            <w:tcMar>
              <w:top w:w="80" w:type="dxa"/>
              <w:start w:w="120" w:type="dxa"/>
              <w:bottom w:w="80" w:type="dxa"/>
              <w:end w:w="120" w:type="dxa"/>
            </w:tcMar>
          </w:tcPr>
          <w:p>
            <w:pPr>
              <w:spacing w:after="0"/>
            </w:pPr>
            <w:r>
              <w:rPr>
                <w:rFonts w:ascii="Calibri" w:hAnsi="Calibri"/>
                <w:b/>
                <w:i w:val="0"/>
                <w:color w:val="0B2545"/>
                <w:sz w:val="19"/>
              </w:rPr>
              <w:t>Risk</w:t>
            </w:r>
          </w:p>
        </w:tc>
        <w:tc>
          <w:tcPr>
            <w:tcW w:type="dxa" w:w="3060"/>
            <w:shd w:fill="F2F4F7"/>
            <w:vAlign w:val="center"/>
            <w:tcMar>
              <w:top w:w="80" w:type="dxa"/>
              <w:start w:w="120" w:type="dxa"/>
              <w:bottom w:w="80" w:type="dxa"/>
              <w:end w:w="120" w:type="dxa"/>
            </w:tcMar>
          </w:tcPr>
          <w:p>
            <w:pPr>
              <w:spacing w:after="0"/>
            </w:pPr>
            <w:r>
              <w:rPr>
                <w:rFonts w:ascii="Calibri" w:hAnsi="Calibri"/>
                <w:b/>
                <w:i w:val="0"/>
                <w:color w:val="0B2545"/>
                <w:sz w:val="19"/>
              </w:rPr>
              <w:t>Consequence</w:t>
            </w:r>
          </w:p>
        </w:tc>
        <w:tc>
          <w:tcPr>
            <w:tcW w:type="dxa" w:w="4140"/>
            <w:shd w:fill="F2F4F7"/>
            <w:vAlign w:val="center"/>
            <w:tcMar>
              <w:top w:w="80" w:type="dxa"/>
              <w:start w:w="120" w:type="dxa"/>
              <w:bottom w:w="80" w:type="dxa"/>
              <w:end w:w="120" w:type="dxa"/>
            </w:tcMar>
          </w:tcPr>
          <w:p>
            <w:pPr>
              <w:spacing w:after="0"/>
            </w:pPr>
            <w:r>
              <w:rPr>
                <w:rFonts w:ascii="Calibri" w:hAnsi="Calibri"/>
                <w:b/>
                <w:i w:val="0"/>
                <w:color w:val="0B2545"/>
                <w:sz w:val="19"/>
              </w:rPr>
              <w:t>Mitigation</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“Clean” bases contain faint contaminants</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Truth is biased and clean-damage estimates are unreliable</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Two-pass visual audit; Gaia/SEP-assisted flags; exclude uncertain cases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Toy contaminants are unrealistic</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Optimised settings fail on real S4G images</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Use empirical IRAC stamps/distributions and a separate real-field stress test</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Fold leakage</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Performance is overstated</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Group all realizations by base galaxy before stratification</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Single aggregate score hides damage</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High recovery wins by masking galaxy structure</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Constrained selection plus separate damage/profile metrics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Truth-mask threshold is arbitrary</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Results depend on annotation convention</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Publish strict and impact masks; run threshold sensitivity analysis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Large storage footprint</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Slow iteration and difficult sharing</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Immutable bases; generated release cache; compressed FITS; checksummed manifests</w:t>
            </w:r>
          </w:p>
        </w:tc>
      </w:tr>
      <w:tr>
        <w:trPr>
          <w:cantSplit w:val="true"/>
        </w:trPr>
        <w:tc>
          <w:tcPr>
            <w:tcW w:type="dxa" w:w="2160"/>
            <w:vAlign w:val="top"/>
            <w:tcMar>
              <w:top w:w="80" w:type="dxa"/>
              <w:start w:w="120" w:type="dxa"/>
              <w:bottom w:w="80" w:type="dxa"/>
              <w:end w:w="120" w:type="dxa"/>
            </w:tcMar>
          </w:tcPr>
          <w:p>
            <w:pPr>
              <w:spacing w:after="0" w:line="240" w:lineRule="auto"/>
            </w:pPr>
            <w:r>
              <w:rPr>
                <w:rFonts w:ascii="Calibri" w:hAnsi="Calibri"/>
                <w:b w:val="0"/>
                <w:i w:val="0"/>
                <w:color w:val="000000"/>
                <w:sz w:val="17"/>
              </w:rPr>
              <w:t>Parameter overfitting to S4G</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Limited external validity</w:t>
            </w:r>
          </w:p>
        </w:tc>
        <w:tc>
          <w:tcPr>
            <w:tcW w:type="dxa" w:w="4140"/>
            <w:vAlign w:val="top"/>
            <w:tcMar>
              <w:top w:w="80" w:type="dxa"/>
              <w:start w:w="120" w:type="dxa"/>
              <w:bottom w:w="80" w:type="dxa"/>
              <w:end w:w="120" w:type="dxa"/>
            </w:tcMar>
          </w:tcPr>
          <w:p>
            <w:pPr>
              <w:spacing w:after="0" w:line="240" w:lineRule="auto"/>
            </w:pPr>
            <w:r>
              <w:rPr>
                <w:rFonts w:ascii="Calibri" w:hAnsi="Calibri"/>
                <w:b w:val="0"/>
                <w:i w:val="0"/>
                <w:color w:val="000000"/>
                <w:sz w:val="17"/>
              </w:rPr>
              <w:t>Reserve a later external-survey robustness set; never merge it into S4G tuning</w:t>
            </w:r>
          </w:p>
        </w:tc>
      </w:tr>
    </w:tbl>
    <w:p>
      <w:pPr>
        <w:spacing w:after="0"/>
      </w:pPr>
    </w:p>
    <w:p>
      <w:pPr>
        <w:pStyle w:val="Heading1"/>
      </w:pPr>
      <w:r>
        <w:t>7. Twelve-week pilot schedule</w:t>
      </w:r>
    </w:p>
    <w:tbl>
      <w:tblPr>
        <w:tblStyle w:val="TableGrid"/>
        <w:tblW w:type="dxa" w:w="9360"/>
        <w:tblLayout w:type="fixed"/>
        <w:tblLook w:firstColumn="1" w:firstRow="1" w:lastColumn="0" w:lastRow="0" w:noHBand="0" w:noVBand="1" w:val="04A0"/>
        <w:tblInd w:w="120" w:type="dxa"/>
      </w:tblPr>
      <w:tblGrid>
        <w:gridCol w:w="1440"/>
        <w:gridCol w:w="3060"/>
        <w:gridCol w:w="4860"/>
      </w:tblGrid>
      <w:tr>
        <w:trPr>
          <w:tblHeader w:val="true"/>
          <w:cantSplit w:val="true"/>
        </w:trPr>
        <w:tc>
          <w:tcPr>
            <w:tcW w:type="dxa" w:w="1440"/>
            <w:shd w:fill="F2F4F7"/>
            <w:vAlign w:val="center"/>
            <w:tcMar>
              <w:top w:w="80" w:type="dxa"/>
              <w:start w:w="120" w:type="dxa"/>
              <w:bottom w:w="80" w:type="dxa"/>
              <w:end w:w="120" w:type="dxa"/>
            </w:tcMar>
          </w:tcPr>
          <w:p>
            <w:pPr>
              <w:spacing w:after="0"/>
            </w:pPr>
            <w:r>
              <w:rPr>
                <w:rFonts w:ascii="Calibri" w:hAnsi="Calibri"/>
                <w:b/>
                <w:i w:val="0"/>
                <w:color w:val="0B2545"/>
                <w:sz w:val="19"/>
              </w:rPr>
              <w:t>Weeks</w:t>
            </w:r>
          </w:p>
        </w:tc>
        <w:tc>
          <w:tcPr>
            <w:tcW w:type="dxa" w:w="3060"/>
            <w:shd w:fill="F2F4F7"/>
            <w:vAlign w:val="center"/>
            <w:tcMar>
              <w:top w:w="80" w:type="dxa"/>
              <w:start w:w="120" w:type="dxa"/>
              <w:bottom w:w="80" w:type="dxa"/>
              <w:end w:w="120" w:type="dxa"/>
            </w:tcMar>
          </w:tcPr>
          <w:p>
            <w:pPr>
              <w:spacing w:after="0"/>
            </w:pPr>
            <w:r>
              <w:rPr>
                <w:rFonts w:ascii="Calibri" w:hAnsi="Calibri"/>
                <w:b/>
                <w:i w:val="0"/>
                <w:color w:val="0B2545"/>
                <w:sz w:val="19"/>
              </w:rPr>
              <w:t>Milestone</w:t>
            </w:r>
          </w:p>
        </w:tc>
        <w:tc>
          <w:tcPr>
            <w:tcW w:type="dxa" w:w="4860"/>
            <w:shd w:fill="F2F4F7"/>
            <w:vAlign w:val="center"/>
            <w:tcMar>
              <w:top w:w="80" w:type="dxa"/>
              <w:start w:w="120" w:type="dxa"/>
              <w:bottom w:w="80" w:type="dxa"/>
              <w:end w:w="120" w:type="dxa"/>
            </w:tcMar>
          </w:tcPr>
          <w:p>
            <w:pPr>
              <w:spacing w:after="0"/>
            </w:pPr>
            <w:r>
              <w:rPr>
                <w:rFonts w:ascii="Calibri" w:hAnsi="Calibri"/>
                <w:b/>
                <w:i w:val="0"/>
                <w:color w:val="0B2545"/>
                <w:sz w:val="19"/>
              </w:rPr>
              <w:t>Key output / decision</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Specification freeze</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v0.1 schema, clean definition, truth definition, metric contract</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1–2</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Clean-base audit</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Accepted base catalogue and coverage-gap report</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2–4</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Foreground library</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Versioned empirical/parameterised source components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4–6</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Generator implementation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Deterministic paired-case generator and 20-case smoke set</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6–7</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Pilot generation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1,000 cases and frozen galaxy-level folds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7–10</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Optimisation/validation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Frozen SEP and MTObjects candidate configurations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10–11</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Locked test</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Final comparative metrics and failure analysis</w:t>
            </w:r>
          </w:p>
        </w:tc>
      </w:tr>
      <w:tr>
        <w:trPr>
          <w:cantSplit w:val="true"/>
        </w:trPr>
        <w:tc>
          <w:tcPr>
            <w:tcW w:type="dxa" w:w="1440"/>
            <w:vAlign w:val="top"/>
            <w:tcMar>
              <w:top w:w="80" w:type="dxa"/>
              <w:start w:w="120" w:type="dxa"/>
              <w:bottom w:w="80" w:type="dxa"/>
              <w:end w:w="120" w:type="dxa"/>
            </w:tcMar>
          </w:tcPr>
          <w:p>
            <w:pPr>
              <w:spacing w:after="0" w:line="240" w:lineRule="auto"/>
            </w:pPr>
            <w:r>
              <w:rPr>
                <w:rFonts w:ascii="Calibri" w:hAnsi="Calibri"/>
                <w:b w:val="0"/>
                <w:i w:val="0"/>
                <w:color w:val="000000"/>
                <w:sz w:val="17"/>
              </w:rPr>
              <w:t>12</w:t>
            </w:r>
          </w:p>
        </w:tc>
        <w:tc>
          <w:tcPr>
            <w:tcW w:type="dxa" w:w="3060"/>
            <w:vAlign w:val="top"/>
            <w:tcMar>
              <w:top w:w="80" w:type="dxa"/>
              <w:start w:w="120" w:type="dxa"/>
              <w:bottom w:w="80" w:type="dxa"/>
              <w:end w:w="120" w:type="dxa"/>
            </w:tcMar>
          </w:tcPr>
          <w:p>
            <w:pPr>
              <w:spacing w:after="0" w:line="240" w:lineRule="auto"/>
            </w:pPr>
            <w:r>
              <w:rPr>
                <w:rFonts w:ascii="Calibri" w:hAnsi="Calibri"/>
                <w:b w:val="0"/>
                <w:i w:val="0"/>
                <w:color w:val="000000"/>
                <w:sz w:val="17"/>
              </w:rPr>
              <w:t>Release decision</w:t>
            </w:r>
          </w:p>
        </w:tc>
        <w:tc>
          <w:tcPr>
            <w:tcW w:type="dxa" w:w="4860"/>
            <w:vAlign w:val="top"/>
            <w:tcMar>
              <w:top w:w="80" w:type="dxa"/>
              <w:start w:w="120" w:type="dxa"/>
              <w:bottom w:w="80" w:type="dxa"/>
              <w:end w:w="120" w:type="dxa"/>
            </w:tcMar>
          </w:tcPr>
          <w:p>
            <w:pPr>
              <w:spacing w:after="0" w:line="240" w:lineRule="auto"/>
            </w:pPr>
            <w:r>
              <w:rPr>
                <w:rFonts w:ascii="Calibri" w:hAnsi="Calibri"/>
                <w:b w:val="0"/>
                <w:i w:val="0"/>
                <w:color w:val="000000"/>
                <w:sz w:val="17"/>
              </w:rPr>
              <w:t>v1.0 pilot package and scale-up recommendation</w:t>
            </w:r>
          </w:p>
        </w:tc>
      </w:tr>
    </w:tbl>
    <w:p>
      <w:pPr>
        <w:spacing w:after="0"/>
      </w:pPr>
    </w:p>
    <w:p>
      <w:pPr>
        <w:pStyle w:val="Heading1"/>
      </w:pPr>
      <w:r>
        <w:t>8. Immediate next actions</w:t>
      </w:r>
    </w:p>
    <w:p>
      <w:pPr>
        <w:pStyle w:val="ListNumber"/>
        <w:numPr>
          <w:ilvl w:val="0"/>
          <w:numId w:val="10"/>
        </w:numPr>
        <w:spacing w:after="120" w:line="264" w:lineRule="auto"/>
      </w:pPr>
      <w:r>
        <w:rPr>
          <w:rFonts w:ascii="Calibri" w:hAnsi="Calibri"/>
          <w:b/>
          <w:i w:val="0"/>
          <w:color w:val="0B2545"/>
          <w:sz w:val="22"/>
        </w:rPr>
        <w:t xml:space="preserve">Approve the dataset contract. </w:t>
      </w:r>
      <w:r>
        <w:rPr>
          <w:rFonts w:ascii="Calibri" w:hAnsi="Calibri"/>
          <w:b w:val="0"/>
          <w:i w:val="0"/>
          <w:color w:val="000000"/>
          <w:sz w:val="22"/>
        </w:rPr>
        <w:t>Confirm that the authoritative unit is clean base + foreground layer + contaminated image + exact truth + manifest.</w:t>
      </w:r>
    </w:p>
    <w:p>
      <w:pPr>
        <w:pStyle w:val="ListNumber"/>
        <w:numPr>
          <w:ilvl w:val="0"/>
          <w:numId w:val="10"/>
        </w:numPr>
        <w:spacing w:after="120" w:line="264" w:lineRule="auto"/>
      </w:pPr>
      <w:r>
        <w:rPr>
          <w:rFonts w:ascii="Calibri" w:hAnsi="Calibri"/>
          <w:b/>
          <w:i w:val="0"/>
          <w:color w:val="0B2545"/>
          <w:sz w:val="22"/>
        </w:rPr>
        <w:t xml:space="preserve">Audit the current 40. </w:t>
      </w:r>
      <w:r>
        <w:rPr>
          <w:rFonts w:ascii="Calibri" w:hAnsi="Calibri"/>
          <w:b w:val="0"/>
          <w:i w:val="0"/>
          <w:color w:val="000000"/>
          <w:sz w:val="22"/>
        </w:rPr>
        <w:t>Create a review panel and machine-readable base catalogue from CleanGalaxies.txt and the S4G geometry manifest.</w:t>
      </w:r>
    </w:p>
    <w:p>
      <w:pPr>
        <w:pStyle w:val="ListNumber"/>
        <w:numPr>
          <w:ilvl w:val="0"/>
          <w:numId w:val="10"/>
        </w:numPr>
        <w:spacing w:after="120" w:line="264" w:lineRule="auto"/>
      </w:pPr>
      <w:r>
        <w:rPr>
          <w:rFonts w:ascii="Calibri" w:hAnsi="Calibri"/>
          <w:b/>
          <w:i w:val="0"/>
          <w:color w:val="0B2545"/>
          <w:sz w:val="22"/>
        </w:rPr>
        <w:t xml:space="preserve">Inventory existing toy code. </w:t>
      </w:r>
      <w:r>
        <w:rPr>
          <w:rFonts w:ascii="Calibri" w:hAnsi="Calibri"/>
          <w:b w:val="0"/>
          <w:i w:val="0"/>
          <w:color w:val="000000"/>
          <w:sz w:val="22"/>
        </w:rPr>
        <w:t>Map the current paired-manifest generator, injection routines, evaluators, and machine paths against the vNext schema; reuse before rewriting.</w:t>
      </w:r>
    </w:p>
    <w:p>
      <w:pPr>
        <w:pStyle w:val="ListNumber"/>
        <w:numPr>
          <w:ilvl w:val="0"/>
          <w:numId w:val="10"/>
        </w:numPr>
        <w:spacing w:after="120" w:line="264" w:lineRule="auto"/>
      </w:pPr>
      <w:r>
        <w:rPr>
          <w:rFonts w:ascii="Calibri" w:hAnsi="Calibri"/>
          <w:b/>
          <w:i w:val="0"/>
          <w:color w:val="0B2545"/>
          <w:sz w:val="22"/>
        </w:rPr>
        <w:t xml:space="preserve">Build a 20-case vertical slice. </w:t>
      </w:r>
      <w:r>
        <w:rPr>
          <w:rFonts w:ascii="Calibri" w:hAnsi="Calibri"/>
          <w:b w:val="0"/>
          <w:i w:val="0"/>
          <w:color w:val="000000"/>
          <w:sz w:val="22"/>
        </w:rPr>
        <w:t>Use two galaxies, five source classes/locations, and two seeds to validate the complete path from generation through SEP/MTObjects metrics.</w:t>
      </w:r>
    </w:p>
    <w:p>
      <w:pPr>
        <w:pStyle w:val="ListNumber"/>
        <w:numPr>
          <w:ilvl w:val="0"/>
          <w:numId w:val="10"/>
        </w:numPr>
        <w:spacing w:after="120" w:line="264" w:lineRule="auto"/>
      </w:pPr>
      <w:r>
        <w:rPr>
          <w:rFonts w:ascii="Calibri" w:hAnsi="Calibri"/>
          <w:b/>
          <w:i w:val="0"/>
          <w:color w:val="0B2545"/>
          <w:sz w:val="22"/>
        </w:rPr>
        <w:t xml:space="preserve">Review evidence before scaling. </w:t>
      </w:r>
      <w:r>
        <w:rPr>
          <w:rFonts w:ascii="Calibri" w:hAnsi="Calibri"/>
          <w:b w:val="0"/>
          <w:i w:val="0"/>
          <w:color w:val="000000"/>
          <w:sz w:val="22"/>
        </w:rPr>
        <w:t>Only launch the 1,000-case pilot after deterministic reconstruction, flux consistency, and visual truth overlays pass.</w:t>
      </w:r>
    </w:p>
    <w:p>
      <w:pPr>
        <w:pStyle w:val="Heading1"/>
      </w:pPr>
      <w:r>
        <w:t>References and methodological basis</w:t>
      </w:r>
    </w:p>
    <w:p>
      <w:pPr>
        <w:spacing w:after="80"/>
      </w:pPr>
      <w:r>
        <w:rPr>
          <w:rFonts w:ascii="Calibri" w:hAnsi="Calibri"/>
          <w:b/>
          <w:i w:val="0"/>
          <w:color w:val="000000"/>
          <w:sz w:val="22"/>
        </w:rPr>
        <w:t xml:space="preserve">Haigh, C. et al. (2021). </w:t>
      </w:r>
      <w:r>
        <w:rPr>
          <w:rFonts w:ascii="Calibri" w:hAnsi="Calibri"/>
          <w:b w:val="0"/>
          <w:i w:val="0"/>
          <w:color w:val="000000"/>
          <w:sz w:val="22"/>
        </w:rPr>
        <w:t>Optimising and comparing source-extraction tools using objective segmentation quality criteria. Astronomy &amp; Astrophysics, 645, A107. https://doi.org/10.1051/0004-6361/201936561</w:t>
      </w:r>
    </w:p>
    <w:p>
      <w:pPr>
        <w:spacing w:after="80"/>
      </w:pPr>
      <w:r>
        <w:rPr>
          <w:rFonts w:ascii="Calibri" w:hAnsi="Calibri"/>
          <w:b/>
          <w:i w:val="0"/>
          <w:color w:val="000000"/>
          <w:sz w:val="22"/>
        </w:rPr>
        <w:t xml:space="preserve">Project basis. </w:t>
      </w:r>
      <w:r>
        <w:rPr>
          <w:rFonts w:ascii="Calibri" w:hAnsi="Calibri"/>
          <w:b w:val="0"/>
          <w:i w:val="0"/>
          <w:color w:val="000000"/>
          <w:sz w:val="22"/>
        </w:rPr>
        <w:t>Existing repository workflows include the 40-galaxy CleanGalaxies.txt convention, paired toy-manifest generation, galaxy-held-out cross-validation inputs, SEP processing, MTObjects spike-gate processing, and report generation.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S4G vNext Clean-Galaxy and Controlled-Injection Library — Action Plan</dc:title>
  <dc:subject>Implementation plan for a reproducible S4G foreground-masking validation library</dc:subject>
  <dc:creator>Foreground Masking Research Programme</dc:creator>
  <cp:keywords>S4G, foreground masking, SEP, MTObjects, clean galaxies, controlled injection, validation</cp:keywords>
  <dc:description>generated by python-docx</dc:description>
  <cp:lastModifiedBy/>
  <cp:revision>1</cp:revision>
  <dcterms:created xsi:type="dcterms:W3CDTF">2013-12-23T23:15:00Z</dcterms:created>
  <dcterms:modified xsi:type="dcterms:W3CDTF">2013-12-23T23:15:00Z</dcterms:modified>
  <cp:category/>
</cp:coreProperties>
</file>