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B172"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 xml:space="preserve">Here is a comprehensive sample of a GRC (Governance, Risk, and Compliance) policy review. For this example, we will review a fictional </w:t>
      </w:r>
      <w:r w:rsidRPr="005F3B15">
        <w:rPr>
          <w:rFonts w:ascii="Arial" w:eastAsia="Times New Roman" w:hAnsi="Arial" w:cs="Arial"/>
          <w:b/>
          <w:bCs/>
          <w:color w:val="1F1F1F"/>
          <w:kern w:val="0"/>
          <w:bdr w:val="none" w:sz="0" w:space="0" w:color="auto" w:frame="1"/>
          <w14:ligatures w14:val="none"/>
        </w:rPr>
        <w:t>Data Classification and Protection Policy</w:t>
      </w:r>
      <w:r w:rsidRPr="005F3B15">
        <w:rPr>
          <w:rFonts w:ascii="Arial" w:eastAsia="Times New Roman" w:hAnsi="Arial" w:cs="Arial"/>
          <w:color w:val="1F1F1F"/>
          <w:kern w:val="0"/>
          <w14:ligatures w14:val="none"/>
        </w:rPr>
        <w:t xml:space="preserve"> for an organization transitioning to cloud infrastructure.</w:t>
      </w:r>
    </w:p>
    <w:p w14:paraId="4D156A09" w14:textId="77777777" w:rsid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This template is structured to be presented to stakeholders, highlighting what works, what is missing, and the exact steps needed for remediation.</w:t>
      </w:r>
    </w:p>
    <w:p w14:paraId="07C32076" w14:textId="77777777" w:rsidR="005F3B15" w:rsidRPr="005F3B15" w:rsidRDefault="005F3B15" w:rsidP="005F3B15">
      <w:pPr>
        <w:spacing w:after="0" w:line="240" w:lineRule="auto"/>
        <w:rPr>
          <w:rFonts w:ascii="Arial" w:eastAsia="Times New Roman" w:hAnsi="Arial" w:cs="Arial"/>
          <w:color w:val="1F1F1F"/>
          <w:kern w:val="0"/>
          <w14:ligatures w14:val="none"/>
        </w:rPr>
      </w:pPr>
    </w:p>
    <w:p w14:paraId="4991AC6B" w14:textId="77777777" w:rsidR="005F3B15" w:rsidRPr="005F3B15" w:rsidRDefault="005F3B15" w:rsidP="005F3B15">
      <w:pPr>
        <w:spacing w:after="0" w:line="240" w:lineRule="auto"/>
        <w:outlineLvl w:val="1"/>
        <w:rPr>
          <w:rFonts w:ascii="Arial" w:eastAsia="Times New Roman" w:hAnsi="Arial" w:cs="Arial"/>
          <w:b/>
          <w:bCs/>
          <w:color w:val="1F1F1F"/>
          <w:kern w:val="0"/>
          <w:sz w:val="36"/>
          <w:szCs w:val="36"/>
          <w14:ligatures w14:val="none"/>
        </w:rPr>
      </w:pPr>
      <w:r w:rsidRPr="005F3B15">
        <w:rPr>
          <w:rFonts w:ascii="Arial" w:eastAsia="Times New Roman" w:hAnsi="Arial" w:cs="Arial"/>
          <w:b/>
          <w:bCs/>
          <w:color w:val="1F1F1F"/>
          <w:kern w:val="0"/>
          <w:sz w:val="36"/>
          <w:szCs w:val="36"/>
          <w14:ligatures w14:val="none"/>
        </w:rPr>
        <w:t>GRC Policy Review Document</w:t>
      </w:r>
    </w:p>
    <w:p w14:paraId="749053D8"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Target Policy:</w:t>
      </w:r>
      <w:r w:rsidRPr="005F3B15">
        <w:rPr>
          <w:rFonts w:ascii="Arial" w:eastAsia="Times New Roman" w:hAnsi="Arial" w:cs="Arial"/>
          <w:color w:val="1F1F1F"/>
          <w:kern w:val="0"/>
          <w14:ligatures w14:val="none"/>
        </w:rPr>
        <w:t xml:space="preserve"> Data Classification and Protection Policy (v1.2)</w:t>
      </w:r>
    </w:p>
    <w:p w14:paraId="5FED708A"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Project Scope:</w:t>
      </w:r>
      <w:r w:rsidRPr="005F3B15">
        <w:rPr>
          <w:rFonts w:ascii="Arial" w:eastAsia="Times New Roman" w:hAnsi="Arial" w:cs="Arial"/>
          <w:color w:val="1F1F1F"/>
          <w:kern w:val="0"/>
          <w14:ligatures w14:val="none"/>
        </w:rPr>
        <w:t xml:space="preserve"> Cloud Infrastructure Migration Project</w:t>
      </w:r>
    </w:p>
    <w:p w14:paraId="33034DB4"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Review Date:</w:t>
      </w:r>
      <w:r w:rsidRPr="005F3B15">
        <w:rPr>
          <w:rFonts w:ascii="Arial" w:eastAsia="Times New Roman" w:hAnsi="Arial" w:cs="Arial"/>
          <w:color w:val="1F1F1F"/>
          <w:kern w:val="0"/>
          <w14:ligatures w14:val="none"/>
        </w:rPr>
        <w:t xml:space="preserve"> July 9, 2026</w:t>
      </w:r>
    </w:p>
    <w:p w14:paraId="20C8B7A0" w14:textId="12AFBD64"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Reviewer:</w:t>
      </w:r>
      <w:r w:rsidRPr="005F3B15">
        <w:rPr>
          <w:rFonts w:ascii="Arial" w:eastAsia="Times New Roman" w:hAnsi="Arial" w:cs="Arial"/>
          <w:color w:val="1F1F1F"/>
          <w:kern w:val="0"/>
          <w14:ligatures w14:val="none"/>
        </w:rPr>
        <w:t xml:space="preserve"> Lead GRC Analyst</w:t>
      </w:r>
      <w:r w:rsidR="00BD075D">
        <w:rPr>
          <w:rFonts w:ascii="Arial" w:eastAsia="Times New Roman" w:hAnsi="Arial" w:cs="Arial"/>
          <w:color w:val="1F1F1F"/>
          <w:kern w:val="0"/>
          <w14:ligatures w14:val="none"/>
        </w:rPr>
        <w:t xml:space="preserve"> GBPP Industries, LLC</w:t>
      </w:r>
    </w:p>
    <w:p w14:paraId="4F3948AB" w14:textId="77777777" w:rsidR="005F3B15" w:rsidRPr="005F3B15" w:rsidRDefault="005F3B15" w:rsidP="005F3B15">
      <w:pPr>
        <w:spacing w:after="0" w:line="240" w:lineRule="auto"/>
        <w:outlineLvl w:val="2"/>
        <w:rPr>
          <w:rFonts w:ascii="Arial" w:eastAsia="Times New Roman" w:hAnsi="Arial" w:cs="Arial"/>
          <w:b/>
          <w:bCs/>
          <w:color w:val="1F1F1F"/>
          <w:kern w:val="0"/>
          <w:sz w:val="27"/>
          <w:szCs w:val="27"/>
          <w14:ligatures w14:val="none"/>
        </w:rPr>
      </w:pPr>
      <w:r w:rsidRPr="005F3B15">
        <w:rPr>
          <w:rFonts w:ascii="Arial" w:eastAsia="Times New Roman" w:hAnsi="Arial" w:cs="Arial"/>
          <w:b/>
          <w:bCs/>
          <w:color w:val="1F1F1F"/>
          <w:kern w:val="0"/>
          <w:sz w:val="27"/>
          <w:szCs w:val="27"/>
          <w14:ligatures w14:val="none"/>
        </w:rPr>
        <w:t>1. Executive Summary</w:t>
      </w:r>
    </w:p>
    <w:p w14:paraId="63A5B644"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 xml:space="preserve">The purpose of this review is to evaluate the existing Data Classification and Protection Policy against the upcoming Cloud Infrastructure Migration. While the current policy provides a strong baseline for </w:t>
      </w:r>
      <w:proofErr w:type="gramStart"/>
      <w:r w:rsidRPr="005F3B15">
        <w:rPr>
          <w:rFonts w:ascii="Arial" w:eastAsia="Times New Roman" w:hAnsi="Arial" w:cs="Arial"/>
          <w:color w:val="1F1F1F"/>
          <w:kern w:val="0"/>
          <w14:ligatures w14:val="none"/>
        </w:rPr>
        <w:t>on-premise</w:t>
      </w:r>
      <w:proofErr w:type="gramEnd"/>
      <w:r w:rsidRPr="005F3B15">
        <w:rPr>
          <w:rFonts w:ascii="Arial" w:eastAsia="Times New Roman" w:hAnsi="Arial" w:cs="Arial"/>
          <w:color w:val="1F1F1F"/>
          <w:kern w:val="0"/>
          <w14:ligatures w14:val="none"/>
        </w:rPr>
        <w:t xml:space="preserve"> data handling, it lacks critical governance around cloud-native storage, third-party risk management, and recent updates to data privacy regulations. Immediate remediation is required before the cloud migration goes live.</w:t>
      </w:r>
    </w:p>
    <w:p w14:paraId="674E28FD" w14:textId="77777777" w:rsidR="005F3B15" w:rsidRPr="005F3B15" w:rsidRDefault="005F3B15" w:rsidP="005F3B15">
      <w:pPr>
        <w:spacing w:after="0" w:line="240" w:lineRule="auto"/>
        <w:outlineLvl w:val="2"/>
        <w:rPr>
          <w:rFonts w:ascii="Arial" w:eastAsia="Times New Roman" w:hAnsi="Arial" w:cs="Arial"/>
          <w:b/>
          <w:bCs/>
          <w:color w:val="1F1F1F"/>
          <w:kern w:val="0"/>
          <w:sz w:val="27"/>
          <w:szCs w:val="27"/>
          <w14:ligatures w14:val="none"/>
        </w:rPr>
      </w:pPr>
      <w:r w:rsidRPr="005F3B15">
        <w:rPr>
          <w:rFonts w:ascii="Arial" w:eastAsia="Times New Roman" w:hAnsi="Arial" w:cs="Arial"/>
          <w:b/>
          <w:bCs/>
          <w:color w:val="1F1F1F"/>
          <w:kern w:val="0"/>
          <w:sz w:val="27"/>
          <w:szCs w:val="27"/>
          <w14:ligatures w14:val="none"/>
        </w:rPr>
        <w:t>2. Governance Assessment</w:t>
      </w:r>
    </w:p>
    <w:p w14:paraId="3C876D64"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Governance ensures that organizational goals align with security practices and that accountability is clearly defined.</w:t>
      </w:r>
    </w:p>
    <w:p w14:paraId="327C7C5B" w14:textId="77777777" w:rsidR="005F3B15" w:rsidRPr="005F3B15" w:rsidRDefault="005F3B15" w:rsidP="005F3B15">
      <w:pPr>
        <w:numPr>
          <w:ilvl w:val="0"/>
          <w:numId w:val="1"/>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Current State:</w:t>
      </w:r>
      <w:r w:rsidRPr="005F3B15">
        <w:rPr>
          <w:rFonts w:ascii="Arial" w:eastAsia="Times New Roman" w:hAnsi="Arial" w:cs="Arial"/>
          <w:color w:val="1F1F1F"/>
          <w:kern w:val="0"/>
          <w14:ligatures w14:val="none"/>
        </w:rPr>
        <w:t xml:space="preserve"> The policy successfully outlines data ownership for internal departments (e.g., HR, Finance) and establishes a clear data classification </w:t>
      </w:r>
      <w:proofErr w:type="gramStart"/>
      <w:r w:rsidRPr="005F3B15">
        <w:rPr>
          <w:rFonts w:ascii="Arial" w:eastAsia="Times New Roman" w:hAnsi="Arial" w:cs="Arial"/>
          <w:color w:val="1F1F1F"/>
          <w:kern w:val="0"/>
          <w14:ligatures w14:val="none"/>
        </w:rPr>
        <w:t>schema</w:t>
      </w:r>
      <w:proofErr w:type="gramEnd"/>
      <w:r w:rsidRPr="005F3B15">
        <w:rPr>
          <w:rFonts w:ascii="Arial" w:eastAsia="Times New Roman" w:hAnsi="Arial" w:cs="Arial"/>
          <w:color w:val="1F1F1F"/>
          <w:kern w:val="0"/>
          <w14:ligatures w14:val="none"/>
        </w:rPr>
        <w:t xml:space="preserve"> (Public, Internal, Confidential, Restricted).</w:t>
      </w:r>
    </w:p>
    <w:p w14:paraId="6CBB7F87" w14:textId="77777777" w:rsidR="005F3B15" w:rsidRPr="005F3B15" w:rsidRDefault="005F3B15" w:rsidP="005F3B15">
      <w:pPr>
        <w:numPr>
          <w:ilvl w:val="0"/>
          <w:numId w:val="1"/>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Identified Weaknesses:</w:t>
      </w:r>
      <w:r w:rsidRPr="005F3B15">
        <w:rPr>
          <w:rFonts w:ascii="Arial" w:eastAsia="Times New Roman" w:hAnsi="Arial" w:cs="Arial"/>
          <w:color w:val="1F1F1F"/>
          <w:kern w:val="0"/>
          <w14:ligatures w14:val="none"/>
        </w:rPr>
        <w:t xml:space="preserve"> There is no documented Matrix of Responsibilities (RACI) for data hosted in external cloud environments. The policy assumes the internal IT team is solely responsible for data availability, ignoring the Shared Responsibility Model inherent in cloud computing.</w:t>
      </w:r>
    </w:p>
    <w:p w14:paraId="70186164" w14:textId="77777777" w:rsidR="005F3B15" w:rsidRPr="005F3B15" w:rsidRDefault="005F3B15" w:rsidP="005F3B15">
      <w:pPr>
        <w:numPr>
          <w:ilvl w:val="0"/>
          <w:numId w:val="1"/>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Action Required:</w:t>
      </w:r>
      <w:r w:rsidRPr="005F3B15">
        <w:rPr>
          <w:rFonts w:ascii="Arial" w:eastAsia="Times New Roman" w:hAnsi="Arial" w:cs="Arial"/>
          <w:color w:val="1F1F1F"/>
          <w:kern w:val="0"/>
          <w14:ligatures w14:val="none"/>
        </w:rPr>
        <w:t xml:space="preserve"> Define specific roles for Cloud Security Architects and outline the exact security responsibilities owned by the Cloud Service Provider (CSP) versus internal staff.</w:t>
      </w:r>
    </w:p>
    <w:p w14:paraId="725D2333" w14:textId="77777777" w:rsidR="005F3B15" w:rsidRPr="005F3B15" w:rsidRDefault="005F3B15" w:rsidP="005F3B15">
      <w:pPr>
        <w:spacing w:after="0" w:line="240" w:lineRule="auto"/>
        <w:outlineLvl w:val="2"/>
        <w:rPr>
          <w:rFonts w:ascii="Arial" w:eastAsia="Times New Roman" w:hAnsi="Arial" w:cs="Arial"/>
          <w:b/>
          <w:bCs/>
          <w:color w:val="1F1F1F"/>
          <w:kern w:val="0"/>
          <w:sz w:val="27"/>
          <w:szCs w:val="27"/>
          <w14:ligatures w14:val="none"/>
        </w:rPr>
      </w:pPr>
      <w:r w:rsidRPr="005F3B15">
        <w:rPr>
          <w:rFonts w:ascii="Arial" w:eastAsia="Times New Roman" w:hAnsi="Arial" w:cs="Arial"/>
          <w:b/>
          <w:bCs/>
          <w:color w:val="1F1F1F"/>
          <w:kern w:val="0"/>
          <w:sz w:val="27"/>
          <w:szCs w:val="27"/>
          <w14:ligatures w14:val="none"/>
        </w:rPr>
        <w:t>3. Risk Management Assessment</w:t>
      </w:r>
    </w:p>
    <w:p w14:paraId="7A1C4EB0"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Risk management evaluates how the policy identifies, mitigates, and monitors threats to the business.</w:t>
      </w:r>
    </w:p>
    <w:p w14:paraId="2B03BD2F" w14:textId="77777777" w:rsidR="005F3B15" w:rsidRPr="005F3B15" w:rsidRDefault="005F3B15" w:rsidP="005F3B15">
      <w:pPr>
        <w:numPr>
          <w:ilvl w:val="0"/>
          <w:numId w:val="2"/>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Current State:</w:t>
      </w:r>
      <w:r w:rsidRPr="005F3B15">
        <w:rPr>
          <w:rFonts w:ascii="Arial" w:eastAsia="Times New Roman" w:hAnsi="Arial" w:cs="Arial"/>
          <w:color w:val="1F1F1F"/>
          <w:kern w:val="0"/>
          <w14:ligatures w14:val="none"/>
        </w:rPr>
        <w:t xml:space="preserve"> Acceptable risk thresholds are defined for physical media and internal server access. Data encryption standards (AES-256) are mandated for data at rest.</w:t>
      </w:r>
    </w:p>
    <w:p w14:paraId="497D88AB" w14:textId="77777777" w:rsidR="005F3B15" w:rsidRPr="005F3B15" w:rsidRDefault="005F3B15" w:rsidP="005F3B15">
      <w:pPr>
        <w:numPr>
          <w:ilvl w:val="0"/>
          <w:numId w:val="2"/>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Identified Weaknesses:</w:t>
      </w:r>
      <w:r w:rsidRPr="005F3B15">
        <w:rPr>
          <w:rFonts w:ascii="Arial" w:eastAsia="Times New Roman" w:hAnsi="Arial" w:cs="Arial"/>
          <w:color w:val="1F1F1F"/>
          <w:kern w:val="0"/>
          <w14:ligatures w14:val="none"/>
        </w:rPr>
        <w:t xml:space="preserve"> The policy fails to address risks specific to cloud environments, such as misconfigured S3 buckets, compromised API keys, or insider threats at the CSP level. Furthermore, it lacks a defined process for continuous risk monitoring.</w:t>
      </w:r>
    </w:p>
    <w:p w14:paraId="6FF0E4BB" w14:textId="77777777" w:rsidR="005F3B15" w:rsidRDefault="005F3B15" w:rsidP="005F3B15">
      <w:pPr>
        <w:numPr>
          <w:ilvl w:val="0"/>
          <w:numId w:val="2"/>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Action Required:</w:t>
      </w:r>
      <w:r w:rsidRPr="005F3B15">
        <w:rPr>
          <w:rFonts w:ascii="Arial" w:eastAsia="Times New Roman" w:hAnsi="Arial" w:cs="Arial"/>
          <w:color w:val="1F1F1F"/>
          <w:kern w:val="0"/>
          <w14:ligatures w14:val="none"/>
        </w:rPr>
        <w:t xml:space="preserve"> Integrate a Cloud Risk Assessment requirement into the policy. Mandate regular automated scanning for cloud misconfigurations and define the acceptable risk appetite for multi-tenant data hosting.</w:t>
      </w:r>
    </w:p>
    <w:p w14:paraId="6FF7B2FD" w14:textId="77777777" w:rsidR="00AB45F2" w:rsidRPr="005F3B15" w:rsidRDefault="00AB45F2" w:rsidP="00AB45F2">
      <w:pPr>
        <w:spacing w:after="0" w:line="240" w:lineRule="auto"/>
        <w:ind w:left="720"/>
        <w:rPr>
          <w:rFonts w:ascii="Arial" w:eastAsia="Times New Roman" w:hAnsi="Arial" w:cs="Arial"/>
          <w:color w:val="1F1F1F"/>
          <w:kern w:val="0"/>
          <w14:ligatures w14:val="none"/>
        </w:rPr>
      </w:pPr>
    </w:p>
    <w:p w14:paraId="0783C742" w14:textId="77777777" w:rsidR="005F3B15" w:rsidRPr="005F3B15" w:rsidRDefault="005F3B15" w:rsidP="005F3B15">
      <w:pPr>
        <w:spacing w:after="0" w:line="240" w:lineRule="auto"/>
        <w:outlineLvl w:val="2"/>
        <w:rPr>
          <w:rFonts w:ascii="Arial" w:eastAsia="Times New Roman" w:hAnsi="Arial" w:cs="Arial"/>
          <w:b/>
          <w:bCs/>
          <w:color w:val="1F1F1F"/>
          <w:kern w:val="0"/>
          <w:sz w:val="27"/>
          <w:szCs w:val="27"/>
          <w14:ligatures w14:val="none"/>
        </w:rPr>
      </w:pPr>
      <w:r w:rsidRPr="005F3B15">
        <w:rPr>
          <w:rFonts w:ascii="Arial" w:eastAsia="Times New Roman" w:hAnsi="Arial" w:cs="Arial"/>
          <w:b/>
          <w:bCs/>
          <w:color w:val="1F1F1F"/>
          <w:kern w:val="0"/>
          <w:sz w:val="27"/>
          <w:szCs w:val="27"/>
          <w14:ligatures w14:val="none"/>
        </w:rPr>
        <w:lastRenderedPageBreak/>
        <w:t>4. Compliance Alignment</w:t>
      </w:r>
    </w:p>
    <w:p w14:paraId="657FE30D"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Compliance ensures the policy meets legal, regulatory, and contractual obligations.</w:t>
      </w:r>
    </w:p>
    <w:p w14:paraId="76364CC6" w14:textId="77777777" w:rsidR="005F3B15" w:rsidRPr="005F3B15" w:rsidRDefault="005F3B15" w:rsidP="005F3B15">
      <w:pPr>
        <w:numPr>
          <w:ilvl w:val="0"/>
          <w:numId w:val="3"/>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Current State:</w:t>
      </w:r>
      <w:r w:rsidRPr="005F3B15">
        <w:rPr>
          <w:rFonts w:ascii="Arial" w:eastAsia="Times New Roman" w:hAnsi="Arial" w:cs="Arial"/>
          <w:color w:val="1F1F1F"/>
          <w:kern w:val="0"/>
          <w14:ligatures w14:val="none"/>
        </w:rPr>
        <w:t xml:space="preserve"> The policy correctly references HIPAA requirements for patient data and PCI-DSS for payment information.</w:t>
      </w:r>
    </w:p>
    <w:p w14:paraId="1C2C4D14" w14:textId="77777777" w:rsidR="005F3B15" w:rsidRPr="005F3B15" w:rsidRDefault="005F3B15" w:rsidP="005F3B15">
      <w:pPr>
        <w:numPr>
          <w:ilvl w:val="0"/>
          <w:numId w:val="3"/>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Identified Weaknesses:</w:t>
      </w:r>
      <w:r w:rsidRPr="005F3B15">
        <w:rPr>
          <w:rFonts w:ascii="Arial" w:eastAsia="Times New Roman" w:hAnsi="Arial" w:cs="Arial"/>
          <w:color w:val="1F1F1F"/>
          <w:kern w:val="0"/>
          <w14:ligatures w14:val="none"/>
        </w:rPr>
        <w:t xml:space="preserve"> The policy references outdated frameworks. It does not account for the cross-border data transfer restrictions outlined in the GDPR or the updated controls in NIST CSF 2.0.</w:t>
      </w:r>
    </w:p>
    <w:p w14:paraId="6A95C990" w14:textId="77777777" w:rsidR="005F3B15" w:rsidRDefault="005F3B15" w:rsidP="005F3B15">
      <w:pPr>
        <w:numPr>
          <w:ilvl w:val="0"/>
          <w:numId w:val="3"/>
        </w:num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Action Required:</w:t>
      </w:r>
      <w:r w:rsidRPr="005F3B15">
        <w:rPr>
          <w:rFonts w:ascii="Arial" w:eastAsia="Times New Roman" w:hAnsi="Arial" w:cs="Arial"/>
          <w:color w:val="1F1F1F"/>
          <w:kern w:val="0"/>
          <w14:ligatures w14:val="none"/>
        </w:rPr>
        <w:t xml:space="preserve"> Update regulatory cross-references. Add a mandatory compliance check for data residency requirements before migrating any Confidential or Restricted data to cloud regions outside the host country.</w:t>
      </w:r>
    </w:p>
    <w:p w14:paraId="7BE8D9A4" w14:textId="77777777" w:rsidR="005F3B15" w:rsidRPr="005F3B15" w:rsidRDefault="005F3B15" w:rsidP="005F3B15">
      <w:pPr>
        <w:spacing w:after="0" w:line="240" w:lineRule="auto"/>
        <w:ind w:left="720"/>
        <w:rPr>
          <w:rFonts w:ascii="Arial" w:eastAsia="Times New Roman" w:hAnsi="Arial" w:cs="Arial"/>
          <w:color w:val="1F1F1F"/>
          <w:kern w:val="0"/>
          <w14:ligatures w14:val="none"/>
        </w:rPr>
      </w:pPr>
    </w:p>
    <w:p w14:paraId="0F62763A" w14:textId="77777777" w:rsidR="005F3B15" w:rsidRPr="005F3B15" w:rsidRDefault="005F3B15" w:rsidP="005F3B15">
      <w:pPr>
        <w:spacing w:after="0" w:line="240" w:lineRule="auto"/>
        <w:outlineLvl w:val="1"/>
        <w:rPr>
          <w:rFonts w:ascii="Arial" w:eastAsia="Times New Roman" w:hAnsi="Arial" w:cs="Arial"/>
          <w:b/>
          <w:bCs/>
          <w:color w:val="1F1F1F"/>
          <w:kern w:val="0"/>
          <w:sz w:val="36"/>
          <w:szCs w:val="36"/>
          <w14:ligatures w14:val="none"/>
        </w:rPr>
      </w:pPr>
      <w:r w:rsidRPr="005F3B15">
        <w:rPr>
          <w:rFonts w:ascii="Arial" w:eastAsia="Times New Roman" w:hAnsi="Arial" w:cs="Arial"/>
          <w:b/>
          <w:bCs/>
          <w:color w:val="1F1F1F"/>
          <w:kern w:val="0"/>
          <w:sz w:val="36"/>
          <w:szCs w:val="36"/>
          <w14:ligatures w14:val="none"/>
        </w:rPr>
        <w:t>Gap Analysis &amp; Remediation Plan</w:t>
      </w:r>
    </w:p>
    <w:p w14:paraId="4F5E4B89"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The following table prioritizes the findings to guide the security team's update schedule:</w:t>
      </w:r>
    </w:p>
    <w:tbl>
      <w:tblPr>
        <w:tblW w:w="0" w:type="auto"/>
        <w:tblCellSpacing w:w="15" w:type="dxa"/>
        <w:tblCellMar>
          <w:left w:w="0" w:type="dxa"/>
          <w:right w:w="0" w:type="dxa"/>
        </w:tblCellMar>
        <w:tblLook w:val="04A0" w:firstRow="1" w:lastRow="0" w:firstColumn="1" w:lastColumn="0" w:noHBand="0" w:noVBand="1"/>
      </w:tblPr>
      <w:tblGrid>
        <w:gridCol w:w="2692"/>
        <w:gridCol w:w="1728"/>
        <w:gridCol w:w="1354"/>
        <w:gridCol w:w="3570"/>
      </w:tblGrid>
      <w:tr w:rsidR="005F3B15" w:rsidRPr="005F3B15" w14:paraId="35DC27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4B702"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Gap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DCBAD"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GRC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B80BD"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6CB25"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b/>
                <w:bCs/>
                <w:color w:val="1F1F1F"/>
                <w:kern w:val="0"/>
                <w:bdr w:val="none" w:sz="0" w:space="0" w:color="auto" w:frame="1"/>
                <w14:ligatures w14:val="none"/>
              </w:rPr>
              <w:t>Recommended Remediation</w:t>
            </w:r>
          </w:p>
        </w:tc>
      </w:tr>
      <w:tr w:rsidR="005F3B15" w:rsidRPr="005F3B15" w14:paraId="25B8DF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BAAA7"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Missing Shared Responsibility definitions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EBD08"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Governance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6B91E"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88C3E"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Add a "Cloud Environments" section detailing the CSP Shared Responsibility Model.</w:t>
            </w:r>
          </w:p>
        </w:tc>
      </w:tr>
      <w:tr w:rsidR="005F3B15" w:rsidRPr="005F3B15" w14:paraId="0D246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31975"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No cross-border data transfer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4643D"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3D9F"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6BEDA"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Require Legal/GRC sign-off for cloud regions outside the primary jurisdiction.</w:t>
            </w:r>
          </w:p>
        </w:tc>
      </w:tr>
      <w:tr w:rsidR="005F3B15" w:rsidRPr="005F3B15" w14:paraId="553B2C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79E73"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Lack of cloud misconfiguration risks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66C55"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C873"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4E03C"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Mandate automated Cloud Security Posture Management (CSPM) tools.</w:t>
            </w:r>
          </w:p>
        </w:tc>
      </w:tr>
      <w:tr w:rsidR="005F3B15" w:rsidRPr="005F3B15" w14:paraId="09E8F6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30D49"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Outdated regulatory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18742"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EAB5E"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11E6C"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bdr w:val="none" w:sz="0" w:space="0" w:color="auto" w:frame="1"/>
                <w14:ligatures w14:val="none"/>
              </w:rPr>
              <w:t>Update references to NIST CSF 2.0 and current ISO 27001:2022 standards.</w:t>
            </w:r>
          </w:p>
        </w:tc>
      </w:tr>
    </w:tbl>
    <w:p w14:paraId="49564FFF" w14:textId="77777777" w:rsidR="005F3B15" w:rsidRPr="005F3B15" w:rsidRDefault="005F3B15" w:rsidP="005F3B15">
      <w:pPr>
        <w:spacing w:after="0" w:line="240" w:lineRule="auto"/>
        <w:outlineLvl w:val="2"/>
        <w:rPr>
          <w:rFonts w:ascii="Arial" w:eastAsia="Times New Roman" w:hAnsi="Arial" w:cs="Arial"/>
          <w:b/>
          <w:bCs/>
          <w:color w:val="1F1F1F"/>
          <w:kern w:val="0"/>
          <w:sz w:val="27"/>
          <w:szCs w:val="27"/>
          <w14:ligatures w14:val="none"/>
        </w:rPr>
      </w:pPr>
      <w:r w:rsidRPr="005F3B15">
        <w:rPr>
          <w:rFonts w:ascii="Arial" w:eastAsia="Times New Roman" w:hAnsi="Arial" w:cs="Arial"/>
          <w:b/>
          <w:bCs/>
          <w:color w:val="1F1F1F"/>
          <w:kern w:val="0"/>
          <w:sz w:val="27"/>
          <w:szCs w:val="27"/>
          <w14:ligatures w14:val="none"/>
        </w:rPr>
        <w:t>Sign-off and Next Steps</w:t>
      </w:r>
    </w:p>
    <w:p w14:paraId="0F47B851" w14:textId="77777777" w:rsidR="005F3B15" w:rsidRPr="005F3B15" w:rsidRDefault="005F3B15" w:rsidP="005F3B15">
      <w:pPr>
        <w:spacing w:after="0" w:line="240" w:lineRule="auto"/>
        <w:rPr>
          <w:rFonts w:ascii="Arial" w:eastAsia="Times New Roman" w:hAnsi="Arial" w:cs="Arial"/>
          <w:color w:val="1F1F1F"/>
          <w:kern w:val="0"/>
          <w14:ligatures w14:val="none"/>
        </w:rPr>
      </w:pPr>
      <w:r w:rsidRPr="005F3B15">
        <w:rPr>
          <w:rFonts w:ascii="Arial" w:eastAsia="Times New Roman" w:hAnsi="Arial" w:cs="Arial"/>
          <w:color w:val="1F1F1F"/>
          <w:kern w:val="0"/>
          <w14:ligatures w14:val="none"/>
        </w:rPr>
        <w:t>The policy requires a major revision (v2.0) to adequately support the Cloud Infrastructure Migration Project. The GRC team will draft the necessary amendments and submit the updated policy to the Information Security Steering Committee by August 1st for final approval.</w:t>
      </w:r>
    </w:p>
    <w:p w14:paraId="66E2DF58" w14:textId="77777777" w:rsidR="00CB5130" w:rsidRDefault="00CB5130"/>
    <w:sectPr w:rsidR="00CB5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72A35"/>
    <w:multiLevelType w:val="multilevel"/>
    <w:tmpl w:val="B96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546C0"/>
    <w:multiLevelType w:val="multilevel"/>
    <w:tmpl w:val="D89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511E5"/>
    <w:multiLevelType w:val="multilevel"/>
    <w:tmpl w:val="4B84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748015">
    <w:abstractNumId w:val="2"/>
  </w:num>
  <w:num w:numId="2" w16cid:durableId="739711195">
    <w:abstractNumId w:val="1"/>
  </w:num>
  <w:num w:numId="3" w16cid:durableId="210379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B15"/>
    <w:rsid w:val="000E0667"/>
    <w:rsid w:val="005F3B15"/>
    <w:rsid w:val="006B4A9F"/>
    <w:rsid w:val="00946428"/>
    <w:rsid w:val="00AB45F2"/>
    <w:rsid w:val="00BD075D"/>
    <w:rsid w:val="00BF096B"/>
    <w:rsid w:val="00CB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2AD1"/>
  <w15:chartTrackingRefBased/>
  <w15:docId w15:val="{82B639DE-D8D0-4CA6-A433-F7E448447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B15"/>
    <w:rPr>
      <w:rFonts w:eastAsiaTheme="majorEastAsia" w:cstheme="majorBidi"/>
      <w:color w:val="272727" w:themeColor="text1" w:themeTint="D8"/>
    </w:rPr>
  </w:style>
  <w:style w:type="paragraph" w:styleId="Title">
    <w:name w:val="Title"/>
    <w:basedOn w:val="Normal"/>
    <w:next w:val="Normal"/>
    <w:link w:val="TitleChar"/>
    <w:uiPriority w:val="10"/>
    <w:qFormat/>
    <w:rsid w:val="005F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B15"/>
    <w:pPr>
      <w:spacing w:before="160"/>
      <w:jc w:val="center"/>
    </w:pPr>
    <w:rPr>
      <w:i/>
      <w:iCs/>
      <w:color w:val="404040" w:themeColor="text1" w:themeTint="BF"/>
    </w:rPr>
  </w:style>
  <w:style w:type="character" w:customStyle="1" w:styleId="QuoteChar">
    <w:name w:val="Quote Char"/>
    <w:basedOn w:val="DefaultParagraphFont"/>
    <w:link w:val="Quote"/>
    <w:uiPriority w:val="29"/>
    <w:rsid w:val="005F3B15"/>
    <w:rPr>
      <w:i/>
      <w:iCs/>
      <w:color w:val="404040" w:themeColor="text1" w:themeTint="BF"/>
    </w:rPr>
  </w:style>
  <w:style w:type="paragraph" w:styleId="ListParagraph">
    <w:name w:val="List Paragraph"/>
    <w:basedOn w:val="Normal"/>
    <w:uiPriority w:val="34"/>
    <w:qFormat/>
    <w:rsid w:val="005F3B15"/>
    <w:pPr>
      <w:ind w:left="720"/>
      <w:contextualSpacing/>
    </w:pPr>
  </w:style>
  <w:style w:type="character" w:styleId="IntenseEmphasis">
    <w:name w:val="Intense Emphasis"/>
    <w:basedOn w:val="DefaultParagraphFont"/>
    <w:uiPriority w:val="21"/>
    <w:qFormat/>
    <w:rsid w:val="005F3B15"/>
    <w:rPr>
      <w:i/>
      <w:iCs/>
      <w:color w:val="0F4761" w:themeColor="accent1" w:themeShade="BF"/>
    </w:rPr>
  </w:style>
  <w:style w:type="paragraph" w:styleId="IntenseQuote">
    <w:name w:val="Intense Quote"/>
    <w:basedOn w:val="Normal"/>
    <w:next w:val="Normal"/>
    <w:link w:val="IntenseQuoteChar"/>
    <w:uiPriority w:val="30"/>
    <w:qFormat/>
    <w:rsid w:val="005F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B15"/>
    <w:rPr>
      <w:i/>
      <w:iCs/>
      <w:color w:val="0F4761" w:themeColor="accent1" w:themeShade="BF"/>
    </w:rPr>
  </w:style>
  <w:style w:type="character" w:styleId="IntenseReference">
    <w:name w:val="Intense Reference"/>
    <w:basedOn w:val="DefaultParagraphFont"/>
    <w:uiPriority w:val="32"/>
    <w:qFormat/>
    <w:rsid w:val="005F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583</Words>
  <Characters>3689</Characters>
  <Application>Microsoft Office Word</Application>
  <DocSecurity>0</DocSecurity>
  <Lines>98</Lines>
  <Paragraphs>48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Bryant</dc:creator>
  <cp:keywords/>
  <dc:description/>
  <cp:lastModifiedBy>Christopher Bryant</cp:lastModifiedBy>
  <cp:revision>3</cp:revision>
  <dcterms:created xsi:type="dcterms:W3CDTF">2026-07-09T14:55:00Z</dcterms:created>
  <dcterms:modified xsi:type="dcterms:W3CDTF">2026-07-11T14:49:00Z</dcterms:modified>
</cp:coreProperties>
</file>