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4ECB" w14:textId="77777777" w:rsidR="0047043D" w:rsidRDefault="0047043D" w:rsidP="0047043D">
      <w:r>
        <w:t xml:space="preserve">Supplemental </w:t>
      </w:r>
      <w:r w:rsidRPr="003939C7">
        <w:t>Figure S</w:t>
      </w:r>
      <w:r>
        <w:t>1</w:t>
      </w:r>
      <w:r w:rsidRPr="003939C7">
        <w:t xml:space="preserve">. </w:t>
      </w:r>
      <w:r>
        <w:t xml:space="preserve">Volcano plots from the TG vs </w:t>
      </w:r>
      <w:proofErr w:type="spellStart"/>
      <w:r>
        <w:t>nTG</w:t>
      </w:r>
      <w:proofErr w:type="spellEnd"/>
      <w:r>
        <w:t xml:space="preserve"> analysis stratified by sex and exercise group</w:t>
      </w:r>
    </w:p>
    <w:p w14:paraId="3310A95F" w14:textId="77777777" w:rsidR="0047043D" w:rsidRDefault="0047043D" w:rsidP="0047043D">
      <w:pPr>
        <w:pStyle w:val="ListParagraph"/>
        <w:numPr>
          <w:ilvl w:val="0"/>
          <w:numId w:val="2"/>
        </w:numPr>
      </w:pPr>
      <w:r>
        <w:t xml:space="preserve">DE </w:t>
      </w:r>
      <w:proofErr w:type="spellStart"/>
      <w:r>
        <w:t>lncRNAs</w:t>
      </w:r>
      <w:proofErr w:type="spellEnd"/>
      <w:r>
        <w:t xml:space="preserve"> in </w:t>
      </w:r>
      <w:r w:rsidRPr="00563672">
        <w:rPr>
          <w:i/>
          <w:iCs/>
        </w:rPr>
        <w:t>TNNT2</w:t>
      </w:r>
      <w:r w:rsidRPr="00563672">
        <w:t xml:space="preserve"> ∆160</w:t>
      </w:r>
      <w:r>
        <w:t xml:space="preserve"> transgenic (TG) vs non-transgenic (</w:t>
      </w:r>
      <w:proofErr w:type="spellStart"/>
      <w:r>
        <w:t>nTG</w:t>
      </w:r>
      <w:proofErr w:type="spellEnd"/>
      <w:r>
        <w:t xml:space="preserve">) males only. </w:t>
      </w:r>
      <w:r w:rsidRPr="003939C7">
        <w:rPr>
          <w:i/>
          <w:iCs/>
        </w:rPr>
        <w:t>y</w:t>
      </w:r>
      <w:r w:rsidRPr="003939C7">
        <w:t xml:space="preserve">-axis denotes </w:t>
      </w:r>
      <w:r w:rsidRPr="003939C7">
        <w:rPr>
          <w:i/>
          <w:iCs/>
        </w:rPr>
        <w:t>p</w:t>
      </w:r>
      <w:r w:rsidRPr="003939C7">
        <w:t xml:space="preserve">-values adjusted with the Benjamini-Hochberg procedure. </w:t>
      </w:r>
      <w:r>
        <w:t>The h</w:t>
      </w:r>
      <w:r w:rsidRPr="003939C7">
        <w:t xml:space="preserve">orizontal line </w:t>
      </w:r>
      <w:r>
        <w:t>above the</w:t>
      </w:r>
      <w:r w:rsidRPr="003939C7">
        <w:t xml:space="preserve"> x-axis indicates a </w:t>
      </w:r>
      <w:r w:rsidRPr="003939C7">
        <w:rPr>
          <w:i/>
          <w:iCs/>
        </w:rPr>
        <w:t>p</w:t>
      </w:r>
      <w:r w:rsidRPr="003939C7">
        <w:t>-adjusted cutoff of 0.05.</w:t>
      </w:r>
    </w:p>
    <w:p w14:paraId="213E8372" w14:textId="77777777" w:rsidR="0047043D" w:rsidRDefault="0047043D" w:rsidP="0047043D">
      <w:pPr>
        <w:pStyle w:val="ListParagraph"/>
        <w:numPr>
          <w:ilvl w:val="0"/>
          <w:numId w:val="2"/>
        </w:numPr>
      </w:pPr>
      <w:r>
        <w:t>Same as panel A but for females only.</w:t>
      </w:r>
    </w:p>
    <w:p w14:paraId="76456F66" w14:textId="77777777" w:rsidR="0047043D" w:rsidRDefault="0047043D" w:rsidP="0047043D">
      <w:pPr>
        <w:pStyle w:val="ListParagraph"/>
        <w:numPr>
          <w:ilvl w:val="0"/>
          <w:numId w:val="2"/>
        </w:numPr>
      </w:pPr>
      <w:r>
        <w:t>Same as panel A but for HIIT mice only.</w:t>
      </w:r>
    </w:p>
    <w:p w14:paraId="60CF84BA" w14:textId="77777777" w:rsidR="0047043D" w:rsidRDefault="0047043D" w:rsidP="0047043D">
      <w:pPr>
        <w:pStyle w:val="ListParagraph"/>
        <w:numPr>
          <w:ilvl w:val="0"/>
          <w:numId w:val="2"/>
        </w:numPr>
      </w:pPr>
      <w:r>
        <w:t>Same as panel A but for sedentary mice only</w:t>
      </w:r>
    </w:p>
    <w:p w14:paraId="1423CA56" w14:textId="77777777" w:rsidR="0047043D" w:rsidRDefault="0047043D" w:rsidP="0047043D">
      <w:r>
        <w:t xml:space="preserve">TG: transgenic, </w:t>
      </w:r>
      <w:proofErr w:type="spellStart"/>
      <w:r>
        <w:t>nTG</w:t>
      </w:r>
      <w:proofErr w:type="spellEnd"/>
      <w:r>
        <w:t xml:space="preserve">: </w:t>
      </w:r>
      <w:proofErr w:type="spellStart"/>
      <w:r>
        <w:t>nontransgenic</w:t>
      </w:r>
      <w:proofErr w:type="spellEnd"/>
      <w:r>
        <w:t>, M: male, F: female, HIIT: high intensity interval training, Sed: sedentary</w:t>
      </w:r>
      <w:r>
        <w:br w:type="page"/>
      </w:r>
    </w:p>
    <w:p w14:paraId="3C15F4E6" w14:textId="77777777" w:rsidR="0047043D" w:rsidRDefault="0047043D" w:rsidP="0047043D">
      <w:r>
        <w:lastRenderedPageBreak/>
        <w:t xml:space="preserve">Supplemental </w:t>
      </w:r>
      <w:r w:rsidRPr="003939C7">
        <w:t>Figure S</w:t>
      </w:r>
      <w:r>
        <w:t>2</w:t>
      </w:r>
      <w:r w:rsidRPr="003939C7">
        <w:t xml:space="preserve">. </w:t>
      </w:r>
      <w:r>
        <w:t xml:space="preserve">Number of </w:t>
      </w:r>
      <w:proofErr w:type="spellStart"/>
      <w:r>
        <w:t>sORFs</w:t>
      </w:r>
      <w:proofErr w:type="spellEnd"/>
      <w:r>
        <w:t xml:space="preserve"> per lncRNA and </w:t>
      </w:r>
      <w:r w:rsidRPr="003939C7">
        <w:t>AlphaFold PAE plot</w:t>
      </w:r>
    </w:p>
    <w:p w14:paraId="3160E31D" w14:textId="77777777" w:rsidR="0047043D" w:rsidRDefault="0047043D" w:rsidP="0047043D">
      <w:pPr>
        <w:pStyle w:val="ListParagraph"/>
        <w:numPr>
          <w:ilvl w:val="0"/>
          <w:numId w:val="1"/>
        </w:numPr>
      </w:pPr>
      <w:r>
        <w:t>Number of small open reading frames (</w:t>
      </w:r>
      <w:proofErr w:type="spellStart"/>
      <w:r>
        <w:t>sORFs</w:t>
      </w:r>
      <w:proofErr w:type="spellEnd"/>
      <w:r>
        <w:t>) for each of the 13 DE (</w:t>
      </w:r>
      <w:r w:rsidRPr="00B82BBE">
        <w:rPr>
          <w:i/>
          <w:iCs/>
        </w:rPr>
        <w:t>p</w:t>
      </w:r>
      <w:r>
        <w:t xml:space="preserve">-adj &lt; 0.05) mouse </w:t>
      </w:r>
      <w:proofErr w:type="spellStart"/>
      <w:r>
        <w:t>lncRNAs</w:t>
      </w:r>
      <w:proofErr w:type="spellEnd"/>
      <w:r>
        <w:t xml:space="preserve"> which have a human ortholog. The statistical significance of each number is compared to the mean number of </w:t>
      </w:r>
      <w:proofErr w:type="spellStart"/>
      <w:r>
        <w:t>sORFs</w:t>
      </w:r>
      <w:proofErr w:type="spellEnd"/>
      <w:r>
        <w:t xml:space="preserve"> among all mouse lncRNA transcripts (n=</w:t>
      </w:r>
      <w:r w:rsidRPr="0089797C">
        <w:t>155,417</w:t>
      </w:r>
      <w:r>
        <w:t xml:space="preserve">). Error bars depict standard deviation. </w:t>
      </w:r>
      <w:r>
        <w:rPr>
          <w:i/>
          <w:iCs/>
        </w:rPr>
        <w:t>p</w:t>
      </w:r>
      <w:r>
        <w:t>-values were determined via permutation test.</w:t>
      </w:r>
    </w:p>
    <w:p w14:paraId="6CF594EB" w14:textId="77777777" w:rsidR="0047043D" w:rsidRPr="003939C7" w:rsidRDefault="0047043D" w:rsidP="0047043D">
      <w:pPr>
        <w:pStyle w:val="ListParagraph"/>
        <w:numPr>
          <w:ilvl w:val="0"/>
          <w:numId w:val="1"/>
        </w:numPr>
      </w:pPr>
      <w:r w:rsidRPr="003939C7">
        <w:t xml:space="preserve">Measures of folding confidence for </w:t>
      </w:r>
      <w:proofErr w:type="spellStart"/>
      <w:r w:rsidRPr="003939C7">
        <w:t>micropeptides</w:t>
      </w:r>
      <w:proofErr w:type="spellEnd"/>
      <w:r>
        <w:t xml:space="preserve"> coded by the 13 DE (</w:t>
      </w:r>
      <w:r w:rsidRPr="00B82BBE">
        <w:rPr>
          <w:i/>
          <w:iCs/>
        </w:rPr>
        <w:t>p</w:t>
      </w:r>
      <w:r>
        <w:t xml:space="preserve">-adj &lt; 0.05) mouse </w:t>
      </w:r>
      <w:proofErr w:type="spellStart"/>
      <w:r>
        <w:t>lncRNAs</w:t>
      </w:r>
      <w:proofErr w:type="spellEnd"/>
      <w:r>
        <w:t xml:space="preserve"> with human orthologs</w:t>
      </w:r>
      <w:r w:rsidRPr="003939C7">
        <w:t xml:space="preserve">, stratified by </w:t>
      </w:r>
      <w:proofErr w:type="spellStart"/>
      <w:r w:rsidRPr="003939C7">
        <w:t>micropeptide</w:t>
      </w:r>
      <w:proofErr w:type="spellEnd"/>
      <w:r w:rsidRPr="003939C7">
        <w:t xml:space="preserve"> length. </w:t>
      </w:r>
      <w:r>
        <w:t xml:space="preserve">Only lncRNA genes with significant results are shown. </w:t>
      </w:r>
      <w:r w:rsidRPr="003939C7">
        <w:t>Mean</w:t>
      </w:r>
      <w:r>
        <w:t xml:space="preserve"> per-residue</w:t>
      </w:r>
      <w:r w:rsidRPr="003939C7">
        <w:t xml:space="preserve"> </w:t>
      </w:r>
      <w:r>
        <w:t>predicted aligned error</w:t>
      </w:r>
      <w:r w:rsidRPr="003939C7">
        <w:t xml:space="preserve"> </w:t>
      </w:r>
      <w:r>
        <w:t>(PAE)</w:t>
      </w:r>
      <w:r w:rsidRPr="003939C7">
        <w:t xml:space="preserve"> </w:t>
      </w:r>
      <w:r>
        <w:t>scores are</w:t>
      </w:r>
      <w:r w:rsidRPr="003939C7">
        <w:t xml:space="preserve"> for </w:t>
      </w:r>
      <w:proofErr w:type="spellStart"/>
      <w:r w:rsidRPr="003939C7">
        <w:t>micropeptides</w:t>
      </w:r>
      <w:proofErr w:type="spellEnd"/>
      <w:r w:rsidRPr="003939C7">
        <w:t xml:space="preserve"> falling into buckets of length 10 amino acids long from 1 to </w:t>
      </w:r>
      <w:r>
        <w:t>80</w:t>
      </w:r>
      <w:r w:rsidRPr="003939C7">
        <w:t xml:space="preserve">. </w:t>
      </w:r>
      <w:r>
        <w:t xml:space="preserve">Lower PAE scores indicate lower folding confidence and higher </w:t>
      </w:r>
      <w:proofErr w:type="spellStart"/>
      <w:r>
        <w:t>micropeptide</w:t>
      </w:r>
      <w:proofErr w:type="spellEnd"/>
      <w:r>
        <w:t xml:space="preserve"> coding potential. There </w:t>
      </w:r>
      <w:proofErr w:type="gramStart"/>
      <w:r>
        <w:t>are</w:t>
      </w:r>
      <w:proofErr w:type="gramEnd"/>
      <w:r>
        <w:t xml:space="preserve"> n=70 </w:t>
      </w:r>
      <w:proofErr w:type="spellStart"/>
      <w:r>
        <w:t>micropetides</w:t>
      </w:r>
      <w:proofErr w:type="spellEnd"/>
      <w:r>
        <w:t xml:space="preserve"> for </w:t>
      </w:r>
      <w:r w:rsidRPr="00563672">
        <w:rPr>
          <w:i/>
          <w:iCs/>
        </w:rPr>
        <w:t>G730003C15Rik</w:t>
      </w:r>
      <w:r>
        <w:t xml:space="preserve"> and n=233 for </w:t>
      </w:r>
      <w:r w:rsidRPr="00563672">
        <w:rPr>
          <w:i/>
          <w:iCs/>
        </w:rPr>
        <w:t>9830004L10Rik</w:t>
      </w:r>
      <w:r>
        <w:t xml:space="preserve">. There </w:t>
      </w:r>
      <w:r w:rsidRPr="003939C7">
        <w:t xml:space="preserve">are </w:t>
      </w:r>
      <w:r>
        <w:t>120</w:t>
      </w:r>
      <w:r w:rsidRPr="003939C7">
        <w:t xml:space="preserve"> </w:t>
      </w:r>
      <w:proofErr w:type="spellStart"/>
      <w:r w:rsidRPr="003939C7">
        <w:t>micropeptides</w:t>
      </w:r>
      <w:proofErr w:type="spellEnd"/>
      <w:r w:rsidRPr="003939C7">
        <w:t xml:space="preserve"> each for </w:t>
      </w:r>
      <w:r>
        <w:t>false non-coding (</w:t>
      </w:r>
      <w:r w:rsidRPr="003939C7">
        <w:t>FNC</w:t>
      </w:r>
      <w:r>
        <w:t>, i.e. true coding)</w:t>
      </w:r>
      <w:r w:rsidRPr="003939C7">
        <w:t>, rand</w:t>
      </w:r>
      <w:r>
        <w:t>om</w:t>
      </w:r>
      <w:r w:rsidRPr="003939C7">
        <w:t xml:space="preserve">, and </w:t>
      </w:r>
      <w:r>
        <w:t>true non-coding (</w:t>
      </w:r>
      <w:r w:rsidRPr="003939C7">
        <w:t>TNC</w:t>
      </w:r>
      <w:r>
        <w:t>), 15 for each length range</w:t>
      </w:r>
      <w:r w:rsidRPr="003939C7">
        <w:t xml:space="preserve">. Error bars depict standard deviation. </w:t>
      </w:r>
      <w:r w:rsidRPr="009F7E99">
        <w:rPr>
          <w:i/>
          <w:iCs/>
        </w:rPr>
        <w:t>p</w:t>
      </w:r>
      <w:r w:rsidRPr="003939C7">
        <w:t xml:space="preserve">-values </w:t>
      </w:r>
      <w:r>
        <w:t xml:space="preserve">were </w:t>
      </w:r>
      <w:r w:rsidRPr="003939C7">
        <w:t xml:space="preserve">determined with independent two sample t-tests. </w:t>
      </w:r>
      <w:r w:rsidRPr="009F7E99">
        <w:rPr>
          <w:i/>
          <w:iCs/>
        </w:rPr>
        <w:t>p</w:t>
      </w:r>
      <w:r w:rsidRPr="003939C7">
        <w:t>-values are denoted by asterisks</w:t>
      </w:r>
      <w:r>
        <w:t xml:space="preserve"> </w:t>
      </w:r>
      <w:r w:rsidRPr="003939C7">
        <w:t xml:space="preserve">sitting above and having the color of the two groups that they are comparing within a given length range subset. For simplicity, </w:t>
      </w:r>
      <w:r w:rsidRPr="009F7E99">
        <w:rPr>
          <w:i/>
          <w:iCs/>
        </w:rPr>
        <w:t>p</w:t>
      </w:r>
      <w:r w:rsidRPr="003939C7">
        <w:t>-values are only shown when</w:t>
      </w:r>
      <w:r>
        <w:t xml:space="preserve"> any of the three </w:t>
      </w:r>
      <w:proofErr w:type="spellStart"/>
      <w:r>
        <w:t>lncRNAs</w:t>
      </w:r>
      <w:proofErr w:type="spellEnd"/>
      <w:r w:rsidRPr="009F7E99">
        <w:rPr>
          <w:i/>
          <w:iCs/>
        </w:rPr>
        <w:t xml:space="preserve"> </w:t>
      </w:r>
      <w:r w:rsidRPr="003939C7">
        <w:t xml:space="preserve">have a greater </w:t>
      </w:r>
      <w:proofErr w:type="spellStart"/>
      <w:r w:rsidRPr="003939C7">
        <w:t>pLDDT</w:t>
      </w:r>
      <w:proofErr w:type="spellEnd"/>
      <w:r w:rsidRPr="003939C7">
        <w:t xml:space="preserve"> than random or TNC </w:t>
      </w:r>
      <w:proofErr w:type="spellStart"/>
      <w:r w:rsidRPr="003939C7">
        <w:t>micropeptides</w:t>
      </w:r>
      <w:proofErr w:type="spellEnd"/>
      <w:r w:rsidRPr="003939C7">
        <w:t>.</w:t>
      </w:r>
    </w:p>
    <w:p w14:paraId="245EDCDB" w14:textId="77777777" w:rsidR="0047043D" w:rsidRDefault="0047043D" w:rsidP="0047043D">
      <w:r w:rsidRPr="003939C7">
        <w:t xml:space="preserve">* </w:t>
      </w:r>
      <w:r w:rsidRPr="003939C7">
        <w:rPr>
          <w:i/>
          <w:iCs/>
        </w:rPr>
        <w:t>p</w:t>
      </w:r>
      <w:r w:rsidRPr="003939C7">
        <w:t xml:space="preserve"> </w:t>
      </w:r>
      <w:r>
        <w:t>&lt;</w:t>
      </w:r>
      <w:r w:rsidRPr="003939C7">
        <w:t xml:space="preserve"> 0.0</w:t>
      </w:r>
      <w:r>
        <w:t>5, ** p &lt; 0.01, *** p &lt; 0.001, **** p &lt; 0.0001</w:t>
      </w:r>
    </w:p>
    <w:p w14:paraId="664B7D2C" w14:textId="77777777" w:rsidR="0047043D" w:rsidRPr="003939C7" w:rsidRDefault="0047043D" w:rsidP="0047043D">
      <w:proofErr w:type="spellStart"/>
      <w:r>
        <w:t>sORF</w:t>
      </w:r>
      <w:proofErr w:type="spellEnd"/>
      <w:r>
        <w:t xml:space="preserve">: small open reading frame, </w:t>
      </w:r>
      <w:r w:rsidRPr="003939C7">
        <w:t>PAE: predicted alignment error</w:t>
      </w:r>
      <w:r>
        <w:t xml:space="preserve">, </w:t>
      </w:r>
      <w:r w:rsidRPr="003939C7">
        <w:t>FNC: false non-coding (i.e. tru</w:t>
      </w:r>
      <w:r>
        <w:t>e</w:t>
      </w:r>
      <w:r w:rsidRPr="003939C7">
        <w:t xml:space="preserve"> coding), TNC: tru</w:t>
      </w:r>
      <w:r>
        <w:t>e</w:t>
      </w:r>
      <w:r w:rsidRPr="003939C7">
        <w:t xml:space="preserve"> non-coding</w:t>
      </w:r>
    </w:p>
    <w:p w14:paraId="790DE2FD" w14:textId="77777777" w:rsidR="0047043D" w:rsidRDefault="0047043D" w:rsidP="0047043D">
      <w:r>
        <w:br w:type="page"/>
      </w:r>
    </w:p>
    <w:p w14:paraId="24C9F43B" w14:textId="77777777" w:rsidR="0047043D" w:rsidRPr="003939C7" w:rsidRDefault="0047043D" w:rsidP="0047043D">
      <w:r>
        <w:lastRenderedPageBreak/>
        <w:t xml:space="preserve">Supplemental </w:t>
      </w:r>
      <w:r w:rsidRPr="003939C7">
        <w:t>Figure S</w:t>
      </w:r>
      <w:r>
        <w:t>3</w:t>
      </w:r>
      <w:r w:rsidRPr="003939C7">
        <w:t xml:space="preserve">. </w:t>
      </w:r>
      <w:r>
        <w:t xml:space="preserve">Additional </w:t>
      </w:r>
      <w:proofErr w:type="spellStart"/>
      <w:r w:rsidRPr="003939C7">
        <w:t>PhyloCSF</w:t>
      </w:r>
      <w:proofErr w:type="spellEnd"/>
      <w:r w:rsidRPr="003939C7">
        <w:t xml:space="preserve"> result</w:t>
      </w:r>
    </w:p>
    <w:p w14:paraId="72AB39B2" w14:textId="77777777" w:rsidR="0047043D" w:rsidRPr="003939C7" w:rsidRDefault="0047043D" w:rsidP="0047043D">
      <w:proofErr w:type="spellStart"/>
      <w:r w:rsidRPr="003939C7">
        <w:t>PhyloCSF</w:t>
      </w:r>
      <w:proofErr w:type="spellEnd"/>
      <w:r w:rsidRPr="003939C7">
        <w:t xml:space="preserve"> tracks in the UCSC Genome Browser for the </w:t>
      </w:r>
      <w:r>
        <w:t>mouse</w:t>
      </w:r>
      <w:r w:rsidRPr="003939C7">
        <w:t xml:space="preserve"> lncRNA </w:t>
      </w:r>
      <w:r w:rsidRPr="0069231B">
        <w:rPr>
          <w:i/>
          <w:iCs/>
        </w:rPr>
        <w:t xml:space="preserve">2900072N19Rik </w:t>
      </w:r>
      <w:r w:rsidRPr="003939C7">
        <w:t xml:space="preserve">in genome build GRCm38/mm10. The topmost track is the </w:t>
      </w:r>
      <w:proofErr w:type="spellStart"/>
      <w:r w:rsidRPr="003939C7">
        <w:t>PhyloCSF</w:t>
      </w:r>
      <w:proofErr w:type="spellEnd"/>
      <w:r w:rsidRPr="003939C7">
        <w:t xml:space="preserve"> novel track, indicating novel coding regions (green is on plus strand, red is on minus strand). Below that is the Smoothed </w:t>
      </w:r>
      <w:proofErr w:type="spellStart"/>
      <w:r w:rsidRPr="003939C7">
        <w:t>PhyloCSF</w:t>
      </w:r>
      <w:proofErr w:type="spellEnd"/>
      <w:r w:rsidRPr="003939C7">
        <w:t xml:space="preserve"> track for each of the six possible reading frames, which depicts the scores given by </w:t>
      </w:r>
      <w:proofErr w:type="spellStart"/>
      <w:r w:rsidRPr="003939C7">
        <w:t>PhyloCSF’s</w:t>
      </w:r>
      <w:proofErr w:type="spellEnd"/>
      <w:r w:rsidRPr="003939C7">
        <w:t xml:space="preserve"> hidden Markov model. Next is the </w:t>
      </w:r>
      <w:proofErr w:type="spellStart"/>
      <w:r w:rsidRPr="003939C7">
        <w:t>PhyloCSF</w:t>
      </w:r>
      <w:proofErr w:type="spellEnd"/>
      <w:r w:rsidRPr="003939C7">
        <w:t xml:space="preserve"> regions track for all reading frames, indicating the Smoothed track’s predicted coding regions. Next is the </w:t>
      </w:r>
      <w:proofErr w:type="spellStart"/>
      <w:r w:rsidRPr="003939C7">
        <w:t>PhyloCSF</w:t>
      </w:r>
      <w:proofErr w:type="spellEnd"/>
      <w:r w:rsidRPr="003939C7">
        <w:t xml:space="preserve"> Power track, which indicates a score from </w:t>
      </w:r>
      <w:r>
        <w:t>0 to 1</w:t>
      </w:r>
      <w:r w:rsidRPr="003939C7">
        <w:t xml:space="preserve"> indicating statistical confidence</w:t>
      </w:r>
      <w:r>
        <w:t>, with a higher score indicating higher confidence</w:t>
      </w:r>
      <w:r w:rsidRPr="003939C7">
        <w:t xml:space="preserve">. Next are the genes located within this region. </w:t>
      </w:r>
      <w:r w:rsidRPr="00610DE2">
        <w:rPr>
          <w:i/>
          <w:iCs/>
        </w:rPr>
        <w:t>6330403L08Rik</w:t>
      </w:r>
      <w:r>
        <w:t xml:space="preserve"> </w:t>
      </w:r>
      <w:r w:rsidRPr="003939C7">
        <w:t>is marked with a red arrow. Lastly, there is the Conservation track of 100 vertebrates, including mouse, for reference.</w:t>
      </w:r>
    </w:p>
    <w:p w14:paraId="2DD15FB2" w14:textId="77777777" w:rsidR="0047043D" w:rsidRDefault="0047043D" w:rsidP="0047043D"/>
    <w:p w14:paraId="77113801" w14:textId="77777777" w:rsidR="009C2E45" w:rsidRDefault="009C2E45"/>
    <w:sectPr w:rsidR="009C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32C"/>
    <w:multiLevelType w:val="hybridMultilevel"/>
    <w:tmpl w:val="A5263C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5613"/>
    <w:multiLevelType w:val="hybridMultilevel"/>
    <w:tmpl w:val="79E49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03437">
    <w:abstractNumId w:val="0"/>
  </w:num>
  <w:num w:numId="2" w16cid:durableId="14031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3D"/>
    <w:rsid w:val="00284A2B"/>
    <w:rsid w:val="003631AA"/>
    <w:rsid w:val="003C7F05"/>
    <w:rsid w:val="00445219"/>
    <w:rsid w:val="0047043D"/>
    <w:rsid w:val="009C2E45"/>
    <w:rsid w:val="00F80283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6BC73"/>
  <w15:chartTrackingRefBased/>
  <w15:docId w15:val="{09725655-5C4C-4E4C-A44E-D6EA2D49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3D"/>
  </w:style>
  <w:style w:type="paragraph" w:styleId="Heading1">
    <w:name w:val="heading 1"/>
    <w:basedOn w:val="Normal"/>
    <w:next w:val="Normal"/>
    <w:link w:val="Heading1Char"/>
    <w:uiPriority w:val="9"/>
    <w:qFormat/>
    <w:rsid w:val="0047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Branscom, Graham</dc:creator>
  <cp:keywords/>
  <dc:description/>
  <cp:lastModifiedBy>Branscom, Graham</cp:lastModifiedBy>
  <cp:revision>1</cp:revision>
  <dcterms:created xsi:type="dcterms:W3CDTF">2025-07-25T15:55:00Z</dcterms:created>
  <dcterms:modified xsi:type="dcterms:W3CDTF">2025-07-25T15:55:00Z</dcterms:modified>
</cp:coreProperties>
</file>